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March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001-39177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Sound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 Robinson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#09-01 Singapore 068900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  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1805"/>
        <w:gridCol w:w="545"/>
        <w:gridCol w:w="2705"/>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 Group Inc.</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Jinnan (Marco) Lai</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Jinnan (Marco) Lai</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Director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28" w:type="dxa"/>
          <w:right w:w="0" w:type="dxa"/>
        </w:tblCellMar>
      </w:tblPr>
      <w:tblGrid>
        <w:gridCol w:w="995"/>
        <w:gridCol w:w="60"/>
        <w:gridCol w:w="14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Earnings Release</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left"/>
              <w:rPr/>
            </w:pPr>
            <w:hyperlink w:anchor="ex99-2.htm">
              <w:r>
                <w:rPr>
                  <w:rStyle w:val="InternetLink"/>
                  <w:rFonts w:ascii="Times New Roman;Times;Serif" w:hAnsi="Times New Roman;Times;Serif"/>
                  <w:b w:val="false"/>
                  <w:i w:val="false"/>
                  <w:caps w:val="false"/>
                  <w:smallCaps w:val="false"/>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240" w:right="0" w:hanging="0"/>
        <w:jc w:val="center"/>
        <w:rPr>
          <w:caps w:val="false"/>
          <w:smallCaps w:val="false"/>
        </w:rPr>
      </w:pPr>
      <w:r>
        <w:rPr>
          <w:caps w:val="false"/>
          <w:smallCaps w:val="false"/>
        </w:rPr>
        <w:t> </w:t>
      </w:r>
    </w:p>
    <w:p>
      <w:pPr>
        <w:pStyle w:val="TextBody"/>
        <w:bidi w:val="0"/>
        <w:spacing w:before="0" w:after="0"/>
        <w:ind w:left="24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Sound Group Inc. Reports Unaudited Financial Results for the Second Half and Fiscal Year 2025 </w:t>
      </w:r>
    </w:p>
    <w:p>
      <w:pPr>
        <w:pStyle w:val="TextBody"/>
        <w:bidi w:val="0"/>
        <w:spacing w:before="0" w:after="0"/>
        <w:ind w:left="2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Mar. 31, 2026 /GLOBE NEWSWIRE/ - Sound Group Inc. (NASDAQ: SOGP) (“SOGP” or the “Company” or “We”), a global AI-powered audio company, today announced its unaudited financial results for the six months and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Second Half 2025 Financial and Operational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revenues</w:t>
            </w:r>
            <w:r>
              <w:rPr>
                <w:rFonts w:ascii="Times New Roman;Times;Serif" w:hAnsi="Times New Roman;Times;Serif"/>
                <w:b w:val="false"/>
                <w:i w:val="false"/>
                <w:caps w:val="false"/>
                <w:smallCaps w:val="false"/>
                <w:sz w:val="20"/>
              </w:rPr>
              <w:t xml:space="preserve"> were RMB1,745.1 million (US$249.5 million), representing a 58% increase from RMB1,107.8 million for the same period last year.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xml:space="preserve"> was RMB153.1 million (US$21.9 million), compared with a net loss of RMB44.5 million for the same period last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Fiscal Year 2025 Financial and Operational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revenues</w:t>
            </w:r>
            <w:r>
              <w:rPr>
                <w:rFonts w:ascii="Times New Roman;Times;Serif" w:hAnsi="Times New Roman;Times;Serif"/>
                <w:b w:val="false"/>
                <w:i w:val="false"/>
                <w:caps w:val="false"/>
                <w:smallCaps w:val="false"/>
                <w:sz w:val="20"/>
              </w:rPr>
              <w:t xml:space="preserve"> were RMB3,102.8 million (US$443.7 million), representing a 53% increase from RMB2,031.8 million in 2024.</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xml:space="preserve"> was RMB220.6 million (US$31.6 million), compared with a net loss of RMB81.0 million in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Jinnan (Marco) Lai, Founder and CEO of SOGP, commented, “2025 was a remarkable year for Sound Group, highlighted by a 53% year-over-year increase in net revenues and a return to profitability. These results reflect the progress we are making in expanding our audio-centric ecosystem and the growing revenue contribution from our AI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Throughout the year, we enhanced user engagement by expanding our audio content offerings while actively deploying AI technologies to optimize operational efficiency and drive product innovation. In addition, we accelerated the development of our international AI initiatives and further advanced our capabilities in voice AI technologies, including automatic speech recognition, speech synthesis, and real-time audio intelligence. Leveraging our deep expertise in the audio industry, we developed the SoundSphere technology system to power future AI-driven applications. In January 2026, we officially launched SoundSphereAI, a platform that showcases our technological capabilities and ongoing development within the SoundSphere ecosystem. Looking ahead, we will continue strengthening our technology, product, and data flywheel to deliver sustainable, long-term value to our stakeholders. We believe that the combination of strong underlying infrastructure, growing international traction, and a clear product roadmap will provide a solid foundation for long-term value creation.”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Chengfang Lu, Acting CFO of SOGP, said, “We delivered a strong financial performance in 2025, with significant top-line growth and a return to profitability, reflecting the disciplined execution of our strategy and continued improvements in operational efficiency. To recognize our shareholders’ continued support and reaffirm our commitment to returning value, the Board of Directors has declared a special cash dividend of approximately US$5 million. Moving forward, we remain focused on enhancing operational efficiency while making strategic investments in innovation to drive sustainable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Second Half 2025 Unaudited Financial Results</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revenues</w:t>
      </w:r>
      <w:r>
        <w:rPr>
          <w:rFonts w:ascii="Times New Roman;Times;Serif" w:hAnsi="Times New Roman;Times;Serif"/>
          <w:b w:val="false"/>
          <w:i w:val="false"/>
          <w:caps w:val="false"/>
          <w:smallCaps w:val="false"/>
          <w:sz w:val="20"/>
        </w:rPr>
        <w:t xml:space="preserve"> were RMB1,745.1 million (US$249.5 million) for the six months ended December 31, 2025, representing a 58% increase from RMB1,107.8 million for the same period of 2024, primarily due to (i) growth in our value-added services, supported by a broader and more diversified audio content offering, and (ii) increased revenue from our subscription services, driven by an expanding AI applications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Cost of revenues </w:t>
      </w:r>
      <w:r>
        <w:rPr>
          <w:rFonts w:ascii="Times New Roman;Times;Serif" w:hAnsi="Times New Roman;Times;Serif"/>
          <w:b w:val="false"/>
          <w:i w:val="false"/>
          <w:caps w:val="false"/>
          <w:smallCaps w:val="false"/>
          <w:sz w:val="20"/>
        </w:rPr>
        <w:t>were RMB1,232.0 million (US$176.2 million) for the six months ended December 31, 2025, representing a 55% increase from RMB797.3 million for the same period of 2024. The increase was mainly attributable to (i) an increase in revenue sharing-fees for content creators which grew in line with net revenues, (ii) increased payment handling costs, and (iii) increased salary and welfare benefits expenses, which were partially offset by a decrease in bandwidth costs.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was RMB513.1 million (US$73.4 million) for the six months ended December 31, 2025, representing a 65% increase from RMB310.5 million for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gross profit</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was RMB513.4 million (US$73.4 million) for the six months ended December 31, 2025, representing a 65% increase from RMB310.9 million for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margin</w:t>
      </w:r>
      <w:r>
        <w:rPr>
          <w:rFonts w:ascii="Times New Roman;Times;Serif" w:hAnsi="Times New Roman;Times;Serif"/>
          <w:b w:val="false"/>
          <w:i w:val="false"/>
          <w:caps w:val="false"/>
          <w:smallCaps w:val="false"/>
          <w:sz w:val="20"/>
        </w:rPr>
        <w:t xml:space="preserve"> was 29% for the six months ended December 31, 2025, compared with 28% for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gross margin</w:t>
      </w:r>
      <w:r>
        <w:rPr>
          <w:rFonts w:ascii="Times New Roman;Times;Serif" w:hAnsi="Times New Roman;Times;Serif"/>
          <w:b w:val="false"/>
          <w:i w:val="false"/>
          <w:caps w:val="false"/>
          <w:smallCaps w:val="false"/>
          <w:sz w:val="20"/>
        </w:rPr>
        <w:t xml:space="preserve"> was 29% for the six months ended December 31, 2025, compared with 28% for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expenses</w:t>
      </w:r>
      <w:r>
        <w:rPr>
          <w:rFonts w:ascii="Times New Roman;Times;Serif" w:hAnsi="Times New Roman;Times;Serif"/>
          <w:b w:val="false"/>
          <w:i w:val="false"/>
          <w:caps w:val="false"/>
          <w:smallCaps w:val="false"/>
          <w:sz w:val="20"/>
        </w:rPr>
        <w:t xml:space="preserve"> were RMB359.3 million (US$51.4 million) for the six months ended December 31, 2025, representing a 1% increase from RMB355.9 million for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Research and development expenses </w:t>
      </w:r>
      <w:r>
        <w:rPr>
          <w:rFonts w:ascii="Times New Roman;Times;Serif" w:hAnsi="Times New Roman;Times;Serif"/>
          <w:b w:val="false"/>
          <w:i w:val="false"/>
          <w:caps w:val="false"/>
          <w:smallCaps w:val="false"/>
          <w:sz w:val="20"/>
        </w:rPr>
        <w:t>were RMB118.8 million (US$17 million) for the six months ended December 31, 2025, representing an 8% increase from RMB109.8 million for the same period of 2024, primarily due to increased salary and welfare benefits expenses, which were partially offset by decreases in (i) expenses related to research and development services provided by third parties and (ii) rental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r>
        <w:rPr>
          <w:rFonts w:ascii="Times New Roman;Times;Serif" w:hAnsi="Times New Roman;Times;Serif"/>
          <w:b w:val="false"/>
          <w:i/>
          <w:caps w:val="false"/>
          <w:smallCaps w:val="false"/>
          <w:sz w:val="20"/>
        </w:rPr>
        <w:t xml:space="preserve">elling and marketing expenses </w:t>
      </w:r>
      <w:r>
        <w:rPr>
          <w:rFonts w:ascii="Times New Roman;Times;Serif" w:hAnsi="Times New Roman;Times;Serif"/>
          <w:b w:val="false"/>
          <w:i w:val="false"/>
          <w:caps w:val="false"/>
          <w:smallCaps w:val="false"/>
          <w:sz w:val="20"/>
        </w:rPr>
        <w:t>were RMB194.3 million (US$ 27.8 million) for the six months ended December 31, 2025, representing a 6% increase from RMB184.1 million for the same period of 2024, primarily attributable to increases in (i) branding and marketing expenses and (ii) salary and welfare benefits expenses. The Company continues to carefully control discretionary advertising and promotional expenses and adjusts them accordingly, depending on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xml:space="preserve"> were RMB46.1 million (US$6.6 million) for the six months ended December 31, 2025, representing a 26% decrease from RMB62.1 million for the same period of 2024, mainly driven by decreases in (i) salary and welfare benefits expenses, (ii) share-based compensation expenses, (iii) provisions for litigation contingencies, and (iv) professional service fees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income</w:t>
      </w:r>
      <w:r>
        <w:rPr>
          <w:rFonts w:ascii="Times New Roman;Times;Serif" w:hAnsi="Times New Roman;Times;Serif"/>
          <w:b w:val="false"/>
          <w:i w:val="false"/>
          <w:caps w:val="false"/>
          <w:smallCaps w:val="false"/>
          <w:sz w:val="20"/>
        </w:rPr>
        <w:t xml:space="preserve"> was RMB153.8 million (US$22.0 million) for the six months ended December 31, 2025, compared with operating loss of RMB45.4 million for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operating income</w:t>
      </w:r>
      <w:r>
        <w:rPr>
          <w:rFonts w:ascii="Times New Roman;Times;Serif" w:hAnsi="Times New Roman;Times;Serif"/>
          <w:b/>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was RMB155.6 million (US$22.3 million) for the six months ended December 31, 2025, compared with a non-GAAP operating loss of RMB40.6 million for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xml:space="preserve"> was RMB153.1 million (US$ 21.9 million) for the six months ended December 31, 2025, compared with a net loss of RMB44.5 million for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net income</w:t>
      </w:r>
      <w:r>
        <w:rPr>
          <w:rFonts w:ascii="Times New Roman;Times;Serif" w:hAnsi="Times New Roman;Times;Serif"/>
          <w:b/>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was RMB154.8 million (US$22.1 million) for the six months ended December 31, 2025, compared with a non-GAAP net loss of RMB39.7 million for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 attributable to Sound Group Inc.</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ordinary shareholders</w:t>
      </w:r>
      <w:r>
        <w:rPr>
          <w:rFonts w:ascii="Times New Roman;Times;Serif" w:hAnsi="Times New Roman;Times;Serif"/>
          <w:b w:val="false"/>
          <w:i w:val="false"/>
          <w:caps w:val="false"/>
          <w:smallCaps w:val="false"/>
          <w:sz w:val="20"/>
        </w:rPr>
        <w:t xml:space="preserve"> was RMB155.9 million (US$22.3 million) for the six months ended December 31, 2025, compared with a net loss of RMB38.6 million for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Non-GAAP gross profit is a non-GAAP financial measure, which is defined as gross profit excluding share-based compensation expenses. This adjustment amounted to RMB0.3 million (US$0.0 million) and RMB0.2 million for the six months ended December 31, 2025 and 2024, respectively. Please refer to the section below titled “Unaudited Reconciliations of GAAP and Non-GAAP Results” for details.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Non-GAAP operating income is a non-GAAP financial measure, which is defined as operating income excluding share-based compensation expenses. This adjustment amounted to RMB1.7 million (US$0.2 million) and RMB4.8 million for the six months ended December 31, 2025 and 2024, respectively. Please refer to the section below titled “Unaudited Reconciliations of GAAP and Non-GAAP Results” for details.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Non-GAAP net income is a non-GAAP financial measure, which is defined as net income excluding share-based compensation expenses. These adjustments amounted to RMB1.7 million (US$0.2 million) and RMB4.8 million for the six months ended December 31, 2025 and 2024, respectively. Please refer to the section below titled “Unaudited Reconciliations of GAAP and Non-GAAP Results” for details.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net income attributable to Sound Group Inc.</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ordinary shareholders</w:t>
      </w:r>
      <w:r>
        <w:rPr>
          <w:rFonts w:ascii="Times New Roman;Times;Serif" w:hAnsi="Times New Roman;Times;Serif"/>
          <w:b/>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was RMB157.7 million (US$22.5 million) for the six months ended December 31, 2025, compared with a net loss of RMB33.8 million for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Basic and diluted net income per ADS</w:t>
      </w:r>
      <w:r>
        <w:rPr>
          <w:rFonts w:ascii="Times New Roman;Times;Serif" w:hAnsi="Times New Roman;Times;Serif"/>
          <w:b/>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were RMB33.16 and RMB33.05 (US$4.74 and US$4.73), respectively, for the six months ended December 31, 2025, compared with basic and diluted net loss per ADS of RMB7.52 for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basic and diluted net income per ADS</w:t>
      </w:r>
      <w:r>
        <w:rPr>
          <w:rFonts w:ascii="Times New Roman;Times;Serif" w:hAnsi="Times New Roman;Times;Serif"/>
          <w:b/>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were RMB33.53 and RMB33.42 (US$4.79 and US$4.78), respectively, for the six months ended December 31, 2025, compared with non-GAAP basic and diluted net loss per ADS of RMB6.58  for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Fiscal Year 2025 Unaudited Financial Results</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revenues</w:t>
      </w:r>
      <w:r>
        <w:rPr>
          <w:rFonts w:ascii="Times New Roman;Times;Serif" w:hAnsi="Times New Roman;Times;Serif"/>
          <w:b w:val="false"/>
          <w:i w:val="false"/>
          <w:caps w:val="false"/>
          <w:smallCaps w:val="false"/>
          <w:sz w:val="20"/>
        </w:rPr>
        <w:t xml:space="preserve"> were RMB3,102.8 million (US$443.7 million) in 2025, representing a 53% increase from RMB2,031.8 million in the prior year, primarily due to (i) growth in our value-added services, supported by a broader and more diversified audio content offering, and (ii) increased revenue from our subscription services, driven by an expanding AI applications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Cost of revenues </w:t>
      </w:r>
      <w:r>
        <w:rPr>
          <w:rFonts w:ascii="Times New Roman;Times;Serif" w:hAnsi="Times New Roman;Times;Serif"/>
          <w:b w:val="false"/>
          <w:i w:val="false"/>
          <w:caps w:val="false"/>
          <w:smallCaps w:val="false"/>
          <w:sz w:val="20"/>
        </w:rPr>
        <w:t>were RMB2,197.6 million (US$314.3 million) in 2025, representing a 49% increase from RMB1,474.9 million in the prior year. The increase was mainly attributable to (i) an increase in revenue sharing-fees for content creators which grew in line with net revenues, (ii) increased payment handling costs, and (iii) increased salary and welfare benefits expenses, which were partially offset by decreases in (i) bandwidth costs and (ii) share-based compensation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was RMB905.2 million (US$129.4 million) in 2025, representing a 63% increase from RMB556.9 million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gross profit</w:t>
      </w:r>
      <w:r>
        <w:rPr>
          <w:rFonts w:ascii="Times New Roman;Times;Serif" w:hAnsi="Times New Roman;Times;Serif"/>
          <w:b/>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was RMB905.7 million (US$129.5 million) in 2025, representing a 62% increase from RMB558.6 million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margin</w:t>
      </w:r>
      <w:r>
        <w:rPr>
          <w:rFonts w:ascii="Times New Roman;Times;Serif" w:hAnsi="Times New Roman;Times;Serif"/>
          <w:b w:val="false"/>
          <w:i w:val="false"/>
          <w:caps w:val="false"/>
          <w:smallCaps w:val="false"/>
          <w:sz w:val="20"/>
        </w:rPr>
        <w:t xml:space="preserve"> in 2025 was 29%, compared with 27%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gross margin</w:t>
      </w:r>
      <w:r>
        <w:rPr>
          <w:rFonts w:ascii="Times New Roman;Times;Serif" w:hAnsi="Times New Roman;Times;Serif"/>
          <w:b w:val="false"/>
          <w:i w:val="false"/>
          <w:caps w:val="false"/>
          <w:smallCaps w:val="false"/>
          <w:sz w:val="20"/>
        </w:rPr>
        <w:t xml:space="preserve"> in 2025 was 29%, compared with 27%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expenses</w:t>
      </w:r>
      <w:r>
        <w:rPr>
          <w:rFonts w:ascii="Times New Roman;Times;Serif" w:hAnsi="Times New Roman;Times;Serif"/>
          <w:b w:val="false"/>
          <w:i w:val="false"/>
          <w:caps w:val="false"/>
          <w:smallCaps w:val="false"/>
          <w:sz w:val="20"/>
        </w:rPr>
        <w:t xml:space="preserve"> were RMB688.2 million (US$98.4 million) in 2025, representing a 6% increase from RMB646.6 million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Research and development expenses </w:t>
      </w:r>
      <w:r>
        <w:rPr>
          <w:rFonts w:ascii="Times New Roman;Times;Serif" w:hAnsi="Times New Roman;Times;Serif"/>
          <w:b w:val="false"/>
          <w:i w:val="false"/>
          <w:caps w:val="false"/>
          <w:smallCaps w:val="false"/>
          <w:sz w:val="20"/>
        </w:rPr>
        <w:t>were RMB240.2 million (US$34.4 million) in 2025, representing a 3% increase from RMB232.7 million in the prior year, primarily due to increased salary and welfare benefits expenses, which were partially offset by decreases in (i) expenses related to research and development services provided by third parties, (ii) share-based compensation expenses, and (iii) rental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r>
        <w:rPr>
          <w:rFonts w:ascii="Times New Roman;Times;Serif" w:hAnsi="Times New Roman;Times;Serif"/>
          <w:b w:val="false"/>
          <w:i/>
          <w:caps w:val="false"/>
          <w:smallCaps w:val="false"/>
          <w:sz w:val="20"/>
        </w:rPr>
        <w:t xml:space="preserve">elling and marketing expenses </w:t>
      </w:r>
      <w:r>
        <w:rPr>
          <w:rFonts w:ascii="Times New Roman;Times;Serif" w:hAnsi="Times New Roman;Times;Serif"/>
          <w:b w:val="false"/>
          <w:i w:val="false"/>
          <w:caps w:val="false"/>
          <w:smallCaps w:val="false"/>
          <w:sz w:val="20"/>
        </w:rPr>
        <w:t>were RMB347.7 million (US$49.7 million) in 2025, representing a 13% increase from RMB307.3 million in the prior year, primarily attributable to increases in (i) branding and marketing expenses and (ii) salary and welfare benefits expenses, which were partially offset by a decrease in share-based compensation expenses. The Company continues to carefully control discretionary advertising and promotional expenses and adjust them accordingly, depending on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Non-GAAP net income attributable to Sound Group Inc.’s ordinary shareholders is a non-GAAP financial measure, which is defined as net income attributable to Sound Group Inc.’s ordinary shareholders, excluding share-based compensation expenses. These adjustments amounted to RMB1.7 million (US$0.2 million) and RMB4.8 million for the six months ended December 31, 2025 and 2024, respectively. Please refer to the section below titled “Unaudited Reconciliations of GAAP and Non-GAAP Results” for details.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ADS refers to American Depositary Share. Each ADS represents two hundred Class A ordinary shares of the Company. Basic and diluted net income/(loss) per ADS is net loss attributable to Sound Group Inc.’s ordinary shareholders divided by the weighted average number of ADS.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6 </w:t>
      </w:r>
      <w:r>
        <w:rPr>
          <w:rFonts w:ascii="Times New Roman;Times;Serif" w:hAnsi="Times New Roman;Times;Serif"/>
          <w:b w:val="false"/>
          <w:i w:val="false"/>
          <w:caps w:val="false"/>
          <w:smallCaps w:val="false"/>
          <w:sz w:val="20"/>
        </w:rPr>
        <w:t>Non-GAAP basic and diluted net loss per ADS is a non-GAAP financial measure, which is defined as non-GAAP net income/(loss) attributable to Sound Group Inc.’s ordinary shareholders divided by the weighted average number of ADS used in the calculation of basic and diluted net loss per ADS.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7 </w:t>
      </w:r>
      <w:r>
        <w:rPr>
          <w:rFonts w:ascii="Times New Roman;Times;Serif" w:hAnsi="Times New Roman;Times;Serif"/>
          <w:b w:val="false"/>
          <w:i w:val="false"/>
          <w:caps w:val="false"/>
          <w:smallCaps w:val="false"/>
          <w:sz w:val="20"/>
        </w:rPr>
        <w:t>Non-GAAP gross profit is a non-GAAP financial measure, which is defined as gross profit excluding share-based compensation expenses. This adjustment amounted to RMB0.6 million (US$0.1 million) and RMB1.8 million in fiscal year 2025 and 2024, respectively. Please refer to the section below titled “Unaudited Reconciliations of GAAP and Non-GAAP Results” for details.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xml:space="preserve"> were RMB100.3 million (US$14.3 million) in 2025, compared with RMB106.6 million in the prior year, mainly driven by decreases in (i) share-based compensation expenses, (ii) provisions for litigation contingencies and (iii) professional service fees, which were partially offset by an increase in salary and welfare benefits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Operating income </w:t>
      </w:r>
      <w:r>
        <w:rPr>
          <w:rFonts w:ascii="Times New Roman;Times;Serif" w:hAnsi="Times New Roman;Times;Serif"/>
          <w:b w:val="false"/>
          <w:i w:val="false"/>
          <w:caps w:val="false"/>
          <w:smallCaps w:val="false"/>
          <w:sz w:val="20"/>
        </w:rPr>
        <w:t>was RMB217 million (US$31 million) in 2025, compared with an operating loss of RMB89.7 million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operating income</w:t>
      </w:r>
      <w:r>
        <w:rPr>
          <w:rFonts w:ascii="Times New Roman;Times;Serif" w:hAnsi="Times New Roman;Times;Serif"/>
          <w:b/>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was RMB221.5 million (US$31.7 million) in 2025, compared with a non-GAAP operating loss of RMB75.6 million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xml:space="preserve"> was RMB220.6 million (US$31.6 million) in 2025, compared with a net loss of RMB81.0 million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net income</w:t>
      </w:r>
      <w:r>
        <w:rPr>
          <w:rFonts w:ascii="Times New Roman;Times;Serif" w:hAnsi="Times New Roman;Times;Serif"/>
          <w:b/>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was RMB225.2 million (US$32.2 million) in 2025, compared with a non-GAAP net loss of RMB66.8 million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 attributable to Sound Group Inc.</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ordinary shareholders</w:t>
      </w:r>
      <w:r>
        <w:rPr>
          <w:rFonts w:ascii="Times New Roman;Times;Serif" w:hAnsi="Times New Roman;Times;Serif"/>
          <w:b w:val="false"/>
          <w:i w:val="false"/>
          <w:caps w:val="false"/>
          <w:smallCaps w:val="false"/>
          <w:sz w:val="20"/>
        </w:rPr>
        <w:t xml:space="preserve"> was RMB226.5 million (US$32.4 million) in 2025, compared with a net loss of RMB69.6 million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net income attributable to Sound Group Inc.</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ordinary shareholders</w:t>
      </w:r>
      <w:r>
        <w:rPr>
          <w:rFonts w:ascii="Times New Roman;Times;Serif" w:hAnsi="Times New Roman;Times;Serif"/>
          <w:b/>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was RMB231 million (US$33.0 million) in 2025, compared with a net loss of RMB55.4 million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Basic and diluted net income per ADS </w:t>
      </w:r>
      <w:r>
        <w:rPr>
          <w:rFonts w:ascii="Times New Roman;Times;Serif" w:hAnsi="Times New Roman;Times;Serif"/>
          <w:b w:val="false"/>
          <w:i w:val="false"/>
          <w:caps w:val="false"/>
          <w:smallCaps w:val="false"/>
          <w:sz w:val="20"/>
        </w:rPr>
        <w:t>were RMB48.15 and RMB48.01 (US$6.89 and US$6.86), respectively, in 2025, compared with basic and diluted net loss per ADS of RMB13.55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Non-GAAP basic and diluted net income per ADS </w:t>
      </w:r>
      <w:r>
        <w:rPr>
          <w:rFonts w:ascii="Times New Roman;Times;Serif" w:hAnsi="Times New Roman;Times;Serif"/>
          <w:b w:val="false"/>
          <w:i w:val="false"/>
          <w:caps w:val="false"/>
          <w:smallCaps w:val="false"/>
          <w:sz w:val="20"/>
        </w:rPr>
        <w:t>were RMB49.12 and RMB48.96 (US$7.02 and US$7.00), respectively, in 2025, compared with non-GAAP basic and diluted net loss per ADS of RMB10.80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and cash equivalents and restricted cash of RMB659.9 million (US$94.4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Special Cash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approved a special cash dividend of US$0.006 per ordinary share, or US$1.20 per ADS, to holders of ordinary shares and ADSs of record as of the close of business on April 22, 2026 (U.S. Eastern Time). The aggregate amount of the special cash dividend will amount to approximately US$5 million, with payment expected to be made on or around May 12, 2026, for holders of ordinary shares and holders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Non-GAAP operating income is a non-GAAP financial measure, which is defined as operating income excluding share-based compensation expenses. This adjustment amounted to RMB4.5 million (US$0.6 million) and RMB14.2 million in fiscal year 2025 and 2024, respectively. Please refer to the section below titled “Unaudited Reconciliations of GAAP and Non-GAAP Results” for details.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Non-GAAP net income is a non-GAAP financial measure, which is defined as net income excluding share-based compensation expenses. These adjustments amounted to RMB4.5 million (US$0.6 million) and RMB14.2 million in fiscal year 2025 and 2024, respectively. Please refer to the section below titled “Unaudited Reconciliations of GAAP and Non-GAAP Results” for details.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Non-GAAP net income attributable to Sound Group Inc.’s ordinary shareholders is a non-GAAP financial measure, which is defined as net income attributable to Sound Group Inc.’s ordinary shareholders, excluding share-based compensation expenses. These adjustments amounted to RMB4.5 million (US$0.6 million) and RMB14.2 million in fiscal year 2025 and 2024, respectively. Please refer to the section below titled “Unaudited Reconciliations of GAAP and Non-GAAP Results” for details.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Sound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 Group Inc. (NASDAQ: SOGP) is a global AI-powered audio company on a mission to help people connect better and live happier. Leveraging its voice AI technologies and deep expertise in audio interaction, Sound Group is building a diverse ecosystem of intelligent audio products that cater to a global user base. By integrating technology, innovative products, and real-world data within a user-centric ecosystem, the Company generates a powerful growth flywheel that is driving continuous innovation and accelerating its global expansion. Sound Group Inc. has been listed on Nasdaq since January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https://ir.soundgroupinc.com/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information is prepared in conformity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SOGP uses non-GAAP gross profit, non-GAAP gross margin, non-GAAP operating loss/income, non-GAAP net loss/income, non-GAAP net loss/income attributable to Sound Group Inc.’s ordinary shareholders and non-GAAP basic and diluted net loss/income per ADS, which are non-GAAP financial measures. Non-GAAP gross profit is gross profit excluding share-based compensation expenses. Non-GAAP gross margin is non-GAAP gross profit as a percentage of net revenues. Non-GAAP operating loss/income is operating loss/income excluding share-based compensation expenses. Non-GAAP net loss/income is net loss/income, excluding share-based compensation expenses. Non-GAAP net loss/income attributable to Sound Group Inc.’s ordinary shareholders is net loss/income attributable to Sound Group Inc.’s ordinary shareholders, excluding share-based compensation expenses. Non-GAAP basic and diluted net loss/income per ADS is non-GAAP net loss/income attributable to Sound Group Inc.’s ordinary shareholders divided by the weighted average number of ADS used in the calculation of basic and diluted net loss/income per ADS. The Company believes that separate analysis and exclusion of the non-cash impact of the above reconciling item adds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non-cash effect of share-based compensation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similarly titled measures used by other companies. In light of the foregoing limitations, you should not consider non-GAAP financial measures in isolation from, superior to, or as an alternative to the financial measure prepared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“Unaudited Reconciliations of GAAP and Non-GAAP Results” near the end of this release.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RMB amounts into U.S. dollars at a specified rate solely for the convenience of the reader. Unless otherwise noted, all translations from RMB to U.S. dollars and from U.S. dollars to RMB are made at a rate of RMB6.9931 to US$1.00, the exchange rate on December 31, 2025, set forth in the H.10 statistical release of the Federal Reserve Board. The Company makes no representation that the RMB or U.S. dollars amounts referred could be converted into U.S. dollar or RMB, as the case may be, at any particular rate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including but not limited to the following: the Company’s goals and strategies; the Company’s future business development, results of operations and financial condition; the expected growth of the online audio market; the expectation regarding the rate at which to gain active users, especially paying users; the Company’s ability to monetize the user base; fluctuations in general economic and business conditions in China and overseas markets; any adverse changes in laws, regulations, rules, policies or guidelines applicable to the Company; and assumptions underlying or related to any of the foregoing.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Securities Exchange Commission. All information provided in this press release is as of the date of this press release, and the Company does not undertake any duty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 Group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 Department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ir@soundgroupinc.com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soundgroup@christensencomms.com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ADS, per share data and per ADS data)</w:t>
      </w:r>
    </w:p>
    <w:p>
      <w:pPr>
        <w:pStyle w:val="TextBody"/>
        <w:bidi w:val="0"/>
        <w:spacing w:before="0" w:after="0"/>
        <w:ind w:left="0" w:right="0" w:hanging="0"/>
        <w:jc w:val="center"/>
        <w:rPr>
          <w:caps w:val="false"/>
          <w:smallCaps w:val="false"/>
        </w:rPr>
      </w:pPr>
      <w:r>
        <w:rPr>
          <w:caps w:val="false"/>
          <w:smallCaps w:val="false"/>
        </w:rPr>
        <w:t> </w:t>
      </w:r>
    </w:p>
    <w:tbl>
      <w:tblPr>
        <w:tblW w:w="8912" w:type="dxa"/>
        <w:jc w:val="left"/>
        <w:tblInd w:w="0" w:type="dxa"/>
        <w:tblLayout w:type="fixed"/>
        <w:tblCellMar>
          <w:top w:w="0" w:type="dxa"/>
          <w:left w:w="0" w:type="dxa"/>
          <w:bottom w:w="0" w:type="dxa"/>
          <w:right w:w="0" w:type="dxa"/>
        </w:tblCellMar>
      </w:tblPr>
      <w:tblGrid>
        <w:gridCol w:w="5015"/>
        <w:gridCol w:w="60"/>
        <w:gridCol w:w="81"/>
        <w:gridCol w:w="1093"/>
        <w:gridCol w:w="60"/>
        <w:gridCol w:w="60"/>
        <w:gridCol w:w="81"/>
        <w:gridCol w:w="1093"/>
        <w:gridCol w:w="60"/>
        <w:gridCol w:w="60"/>
        <w:gridCol w:w="81"/>
        <w:gridCol w:w="1093"/>
        <w:gridCol w:w="75"/>
      </w:tblGrid>
      <w:tr>
        <w:trPr/>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center"/>
              <w:rPr/>
            </w:pPr>
            <w:r>
              <w:rPr/>
              <w:t> </w:t>
            </w:r>
          </w:p>
        </w:tc>
      </w:tr>
      <w:tr>
        <w:trPr/>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501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441,858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655,058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93,672</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11,305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4,844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693</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139</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35,106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49,683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7,105</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489,351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710,557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101,609</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Property, equipment and leasehold improvement, net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16,491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12,070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1,726</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1,176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126</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12,692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23,572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3,371</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1,730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2,536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363</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32,089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39,057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5,586</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both"/>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521,440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749,614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107,195</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39,379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58,751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8,401</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30,960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38,240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5,468</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Salary and welfare payable</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131,186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176,216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25,199</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7,267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9,203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1,316</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Short-term loans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7,188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Lease liabilities due within one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8,240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14,619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2,090</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78,491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68,327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9,772</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302,711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365,356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52,246</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pPr>
            <w:r>
              <w:rPr/>
              <w:t>4,424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pPr>
            <w:r>
              <w:rPr/>
              <w:t>9,962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pPr>
            <w:r>
              <w:rPr/>
              <w:t>1,425</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1,425</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307,135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375,318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53,671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ADS, per share data and per ADS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99"/>
        <w:gridCol w:w="60"/>
        <w:gridCol w:w="60"/>
        <w:gridCol w:w="1064"/>
        <w:gridCol w:w="95"/>
        <w:gridCol w:w="60"/>
        <w:gridCol w:w="60"/>
        <w:gridCol w:w="1064"/>
        <w:gridCol w:w="95"/>
        <w:gridCol w:w="60"/>
        <w:gridCol w:w="62"/>
        <w:gridCol w:w="912"/>
        <w:gridCol w:w="114"/>
      </w:tblGrid>
      <w:tr>
        <w:trPr/>
        <w:tc>
          <w:tcPr>
            <w:tcW w:w="64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4" w:type="dxa"/>
            <w:tcBorders/>
            <w:vAlign w:val="center"/>
          </w:tcPr>
          <w:p>
            <w:pPr>
              <w:pStyle w:val="TableContents"/>
              <w:bidi w:val="0"/>
              <w:spacing w:before="0" w:after="283"/>
              <w:jc w:val="center"/>
              <w:rPr/>
            </w:pPr>
            <w:r>
              <w:rPr/>
              <w:t> </w:t>
            </w:r>
          </w:p>
        </w:tc>
      </w:tr>
      <w:tr>
        <w:trPr/>
        <w:tc>
          <w:tcPr>
            <w:tcW w:w="64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4"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4"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4" w:type="dxa"/>
            <w:gridSpan w:val="2"/>
            <w:tcBorders/>
            <w:vAlign w:val="center"/>
          </w:tcPr>
          <w:p>
            <w:pPr>
              <w:pStyle w:val="TableContents"/>
              <w:bidi w:val="0"/>
              <w:spacing w:before="0" w:after="283"/>
              <w:jc w:val="center"/>
              <w:rPr/>
            </w:pPr>
            <w:r>
              <w:rPr/>
              <w:t>US$</w:t>
            </w:r>
          </w:p>
        </w:tc>
        <w:tc>
          <w:tcPr>
            <w:tcW w:w="114" w:type="dxa"/>
            <w:tcBorders/>
            <w:vAlign w:val="center"/>
          </w:tcPr>
          <w:p>
            <w:pPr>
              <w:pStyle w:val="TableContents"/>
              <w:bidi w:val="0"/>
              <w:spacing w:before="0" w:after="283"/>
              <w:jc w:val="center"/>
              <w:rPr/>
            </w:pPr>
            <w:r>
              <w:rPr/>
              <w:t> </w:t>
            </w:r>
          </w:p>
        </w:tc>
      </w:tr>
      <w:tr>
        <w:trPr/>
        <w:tc>
          <w:tcPr>
            <w:tcW w:w="6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4"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6499"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499" w:type="dxa"/>
            <w:tcBorders/>
            <w:shd w:fill="FFFFFF" w:val="clear"/>
            <w:vAlign w:val="center"/>
          </w:tcPr>
          <w:p>
            <w:pPr>
              <w:pStyle w:val="TableContents"/>
              <w:bidi w:val="0"/>
              <w:spacing w:before="0" w:after="283"/>
              <w:jc w:val="left"/>
              <w:rPr/>
            </w:pPr>
            <w:r>
              <w:rPr/>
              <w:t>Class A Ordinary shares (US$0.0001 par value, 1,268,785,000 shares authorized, 838,962,260 shares issued and 755,676,810 shares outstanding as of December 31, 2024; 1,268,785,000 shares authorized, 838,962,260 shares issued and 600,638,350 shares outstanding 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60</w:t>
            </w:r>
          </w:p>
        </w:tc>
        <w:tc>
          <w:tcPr>
            <w:tcW w:w="114" w:type="dxa"/>
            <w:tcBorders/>
            <w:shd w:fill="FFFFFF" w:val="clear"/>
            <w:vAlign w:val="center"/>
          </w:tcPr>
          <w:p>
            <w:pPr>
              <w:pStyle w:val="TableContents"/>
              <w:bidi w:val="0"/>
              <w:spacing w:before="0" w:after="283"/>
              <w:jc w:val="left"/>
              <w:rPr/>
            </w:pPr>
            <w:r>
              <w:rPr/>
              <w:t> </w:t>
            </w:r>
          </w:p>
        </w:tc>
      </w:tr>
      <w:tr>
        <w:trPr/>
        <w:tc>
          <w:tcPr>
            <w:tcW w:w="6499" w:type="dxa"/>
            <w:tcBorders/>
            <w:shd w:fill="CCEEFF" w:val="clear"/>
            <w:vAlign w:val="center"/>
          </w:tcPr>
          <w:p>
            <w:pPr>
              <w:pStyle w:val="TableContents"/>
              <w:bidi w:val="0"/>
              <w:spacing w:before="0" w:after="283"/>
              <w:jc w:val="left"/>
              <w:rPr/>
            </w:pPr>
            <w:r>
              <w:rPr/>
              <w:t>Class B Ordinary shares (US$0.0001 par value, 231,215,000 shares authorized, issued and outstanding as of December 31, 2024 and December 31,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24</w:t>
            </w:r>
          </w:p>
        </w:tc>
        <w:tc>
          <w:tcPr>
            <w:tcW w:w="114" w:type="dxa"/>
            <w:tcBorders/>
            <w:shd w:fill="CCEEFF" w:val="clear"/>
            <w:vAlign w:val="center"/>
          </w:tcPr>
          <w:p>
            <w:pPr>
              <w:pStyle w:val="TableContents"/>
              <w:bidi w:val="0"/>
              <w:spacing w:before="0" w:after="283"/>
              <w:jc w:val="left"/>
              <w:rPr/>
            </w:pPr>
            <w:r>
              <w:rPr/>
              <w:t> </w:t>
            </w:r>
          </w:p>
        </w:tc>
      </w:tr>
      <w:tr>
        <w:trPr/>
        <w:tc>
          <w:tcPr>
            <w:tcW w:w="6499" w:type="dxa"/>
            <w:tcBorders/>
            <w:shd w:fill="FFFFFF" w:val="clear"/>
            <w:vAlign w:val="center"/>
          </w:tcPr>
          <w:p>
            <w:pPr>
              <w:pStyle w:val="TableContents"/>
              <w:bidi w:val="0"/>
              <w:spacing w:before="0" w:after="283"/>
              <w:jc w:val="left"/>
              <w:rPr/>
            </w:pPr>
            <w:r>
              <w:rPr/>
              <w:t>Treasury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(10,182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(10,156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(1,452</w:t>
            </w:r>
          </w:p>
        </w:tc>
        <w:tc>
          <w:tcPr>
            <w:tcW w:w="114" w:type="dxa"/>
            <w:tcBorders/>
            <w:shd w:fill="FFFFFF" w:val="clear"/>
            <w:vAlign w:val="center"/>
          </w:tcPr>
          <w:p>
            <w:pPr>
              <w:pStyle w:val="TableContents"/>
              <w:bidi w:val="0"/>
              <w:spacing w:before="0" w:after="283"/>
              <w:jc w:val="left"/>
              <w:rPr/>
            </w:pPr>
            <w:r>
              <w:rPr/>
              <w:t>)</w:t>
            </w:r>
          </w:p>
        </w:tc>
      </w:tr>
      <w:tr>
        <w:trPr/>
        <w:tc>
          <w:tcPr>
            <w:tcW w:w="6499"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2,703,147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2,678,350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382,999</w:t>
            </w:r>
          </w:p>
        </w:tc>
        <w:tc>
          <w:tcPr>
            <w:tcW w:w="114" w:type="dxa"/>
            <w:tcBorders/>
            <w:shd w:fill="CCEEFF" w:val="clear"/>
            <w:vAlign w:val="center"/>
          </w:tcPr>
          <w:p>
            <w:pPr>
              <w:pStyle w:val="TableContents"/>
              <w:bidi w:val="0"/>
              <w:spacing w:before="0" w:after="283"/>
              <w:jc w:val="left"/>
              <w:rPr/>
            </w:pPr>
            <w:r>
              <w:rPr/>
              <w:t> </w:t>
            </w:r>
          </w:p>
        </w:tc>
      </w:tr>
      <w:tr>
        <w:trPr/>
        <w:tc>
          <w:tcPr>
            <w:tcW w:w="6499" w:type="dxa"/>
            <w:tcBorders/>
            <w:shd w:fill="FFFFFF" w:val="clear"/>
            <w:vAlign w:val="center"/>
          </w:tcPr>
          <w:p>
            <w:pPr>
              <w:pStyle w:val="TableContents"/>
              <w:bidi w:val="0"/>
              <w:spacing w:before="0" w:after="283"/>
              <w:jc w:val="left"/>
              <w:rPr/>
            </w:pPr>
            <w:r>
              <w:rPr/>
              <w:t>Statutory reserves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2,605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14,392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2,058</w:t>
            </w:r>
          </w:p>
        </w:tc>
        <w:tc>
          <w:tcPr>
            <w:tcW w:w="114" w:type="dxa"/>
            <w:tcBorders/>
            <w:shd w:fill="FFFFFF" w:val="clear"/>
            <w:vAlign w:val="center"/>
          </w:tcPr>
          <w:p>
            <w:pPr>
              <w:pStyle w:val="TableContents"/>
              <w:bidi w:val="0"/>
              <w:spacing w:before="0" w:after="283"/>
              <w:jc w:val="left"/>
              <w:rPr/>
            </w:pPr>
            <w:r>
              <w:rPr/>
              <w:t> </w:t>
            </w:r>
          </w:p>
        </w:tc>
      </w:tr>
      <w:tr>
        <w:trPr/>
        <w:tc>
          <w:tcPr>
            <w:tcW w:w="6499"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(2,490,809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(2,314,891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(331,025</w:t>
            </w:r>
          </w:p>
        </w:tc>
        <w:tc>
          <w:tcPr>
            <w:tcW w:w="114" w:type="dxa"/>
            <w:tcBorders/>
            <w:shd w:fill="CCEEFF" w:val="clear"/>
            <w:vAlign w:val="center"/>
          </w:tcPr>
          <w:p>
            <w:pPr>
              <w:pStyle w:val="TableContents"/>
              <w:bidi w:val="0"/>
              <w:spacing w:before="0" w:after="283"/>
              <w:jc w:val="left"/>
              <w:rPr/>
            </w:pPr>
            <w:r>
              <w:rPr/>
              <w:t>)</w:t>
            </w:r>
          </w:p>
        </w:tc>
      </w:tr>
      <w:tr>
        <w:trPr/>
        <w:tc>
          <w:tcPr>
            <w:tcW w:w="6499"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29,803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32,777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pPr>
            <w:r>
              <w:rPr/>
              <w:t>4,687</w:t>
            </w:r>
          </w:p>
        </w:tc>
        <w:tc>
          <w:tcPr>
            <w:tcW w:w="114" w:type="dxa"/>
            <w:tcBorders/>
            <w:shd w:fill="FFFFFF" w:val="clear"/>
            <w:vAlign w:val="center"/>
          </w:tcPr>
          <w:p>
            <w:pPr>
              <w:pStyle w:val="TableContents"/>
              <w:bidi w:val="0"/>
              <w:spacing w:before="0" w:after="283"/>
              <w:jc w:val="left"/>
              <w:rPr/>
            </w:pPr>
            <w:r>
              <w:rPr/>
              <w:t> </w:t>
            </w:r>
          </w:p>
        </w:tc>
      </w:tr>
      <w:tr>
        <w:trPr/>
        <w:tc>
          <w:tcPr>
            <w:tcW w:w="64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499" w:type="dxa"/>
            <w:tcBorders/>
            <w:shd w:fill="FFFFFF" w:val="clear"/>
            <w:vAlign w:val="center"/>
          </w:tcPr>
          <w:p>
            <w:pPr>
              <w:pStyle w:val="TableContents"/>
              <w:bidi w:val="0"/>
              <w:spacing w:before="0" w:after="283"/>
              <w:jc w:val="left"/>
              <w:rPr>
                <w:b/>
              </w:rPr>
            </w:pPr>
            <w:r>
              <w:rPr>
                <w:b/>
              </w:rPr>
              <w:t>TOTAL SOGP Inc.’s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235,289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401,062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57,351</w:t>
            </w:r>
          </w:p>
        </w:tc>
        <w:tc>
          <w:tcPr>
            <w:tcW w:w="114" w:type="dxa"/>
            <w:tcBorders/>
            <w:shd w:fill="FFFFFF" w:val="clear"/>
            <w:vAlign w:val="center"/>
          </w:tcPr>
          <w:p>
            <w:pPr>
              <w:pStyle w:val="TableContents"/>
              <w:bidi w:val="0"/>
              <w:spacing w:before="0" w:after="283"/>
              <w:jc w:val="left"/>
              <w:rPr/>
            </w:pPr>
            <w:r>
              <w:rPr/>
              <w:t> </w:t>
            </w:r>
          </w:p>
        </w:tc>
      </w:tr>
      <w:tr>
        <w:trPr/>
        <w:tc>
          <w:tcPr>
            <w:tcW w:w="64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499"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(20,984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(26,766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pPr>
            <w:r>
              <w:rPr/>
              <w:t>(3,827</w:t>
            </w:r>
          </w:p>
        </w:tc>
        <w:tc>
          <w:tcPr>
            <w:tcW w:w="114" w:type="dxa"/>
            <w:tcBorders/>
            <w:shd w:fill="FFFFFF" w:val="clear"/>
            <w:vAlign w:val="center"/>
          </w:tcPr>
          <w:p>
            <w:pPr>
              <w:pStyle w:val="TableContents"/>
              <w:bidi w:val="0"/>
              <w:spacing w:before="0" w:after="283"/>
              <w:jc w:val="left"/>
              <w:rPr/>
            </w:pPr>
            <w:r>
              <w:rPr/>
              <w:t>)</w:t>
            </w:r>
          </w:p>
        </w:tc>
      </w:tr>
      <w:tr>
        <w:trPr/>
        <w:tc>
          <w:tcPr>
            <w:tcW w:w="64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499"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214,305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374,296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53,524</w:t>
            </w:r>
          </w:p>
        </w:tc>
        <w:tc>
          <w:tcPr>
            <w:tcW w:w="114" w:type="dxa"/>
            <w:tcBorders/>
            <w:shd w:fill="FFFFFF" w:val="clear"/>
            <w:vAlign w:val="center"/>
          </w:tcPr>
          <w:p>
            <w:pPr>
              <w:pStyle w:val="TableContents"/>
              <w:bidi w:val="0"/>
              <w:spacing w:before="0" w:after="283"/>
              <w:jc w:val="left"/>
              <w:rPr/>
            </w:pPr>
            <w:r>
              <w:rPr/>
              <w:t> </w:t>
            </w:r>
          </w:p>
        </w:tc>
      </w:tr>
      <w:tr>
        <w:trPr/>
        <w:tc>
          <w:tcPr>
            <w:tcW w:w="64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499"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521,440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749,614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107,195</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ADS, per share data and per ADS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2"/>
        <w:gridCol w:w="60"/>
        <w:gridCol w:w="61"/>
        <w:gridCol w:w="998"/>
        <w:gridCol w:w="95"/>
        <w:gridCol w:w="60"/>
        <w:gridCol w:w="60"/>
        <w:gridCol w:w="980"/>
        <w:gridCol w:w="95"/>
        <w:gridCol w:w="60"/>
        <w:gridCol w:w="60"/>
        <w:gridCol w:w="1071"/>
        <w:gridCol w:w="95"/>
        <w:gridCol w:w="60"/>
        <w:gridCol w:w="61"/>
        <w:gridCol w:w="896"/>
        <w:gridCol w:w="95"/>
        <w:gridCol w:w="60"/>
        <w:gridCol w:w="60"/>
        <w:gridCol w:w="1071"/>
        <w:gridCol w:w="95"/>
        <w:gridCol w:w="60"/>
        <w:gridCol w:w="60"/>
        <w:gridCol w:w="1071"/>
        <w:gridCol w:w="95"/>
        <w:gridCol w:w="60"/>
        <w:gridCol w:w="61"/>
        <w:gridCol w:w="896"/>
        <w:gridCol w:w="117"/>
      </w:tblGrid>
      <w:tr>
        <w:trPr/>
        <w:tc>
          <w:tcPr>
            <w:tcW w:w="1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5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2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Twelve Months Ended</w:t>
            </w:r>
          </w:p>
        </w:tc>
        <w:tc>
          <w:tcPr>
            <w:tcW w:w="117" w:type="dxa"/>
            <w:tcBorders/>
            <w:vAlign w:val="center"/>
          </w:tcPr>
          <w:p>
            <w:pPr>
              <w:pStyle w:val="TableContents"/>
              <w:bidi w:val="0"/>
              <w:spacing w:before="0" w:after="283"/>
              <w:jc w:val="left"/>
              <w:rPr/>
            </w:pPr>
            <w:r>
              <w:rPr/>
              <w:t> </w:t>
            </w:r>
          </w:p>
        </w:tc>
      </w:tr>
      <w:tr>
        <w:trPr/>
        <w:tc>
          <w:tcPr>
            <w:tcW w:w="16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7"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7"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117" w:type="dxa"/>
            <w:tcBorders/>
            <w:vAlign w:val="center"/>
          </w:tcPr>
          <w:p>
            <w:pPr>
              <w:pStyle w:val="TableContents"/>
              <w:bidi w:val="0"/>
              <w:spacing w:before="0" w:after="283"/>
              <w:jc w:val="center"/>
              <w:rPr/>
            </w:pPr>
            <w:r>
              <w:rPr/>
              <w:t> </w:t>
            </w:r>
          </w:p>
        </w:tc>
      </w:tr>
      <w:tr>
        <w:trPr/>
        <w:tc>
          <w:tcPr>
            <w:tcW w:w="16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9"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1"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7" w:type="dxa"/>
            <w:gridSpan w:val="2"/>
            <w:tcBorders/>
            <w:vAlign w:val="center"/>
          </w:tcPr>
          <w:p>
            <w:pPr>
              <w:pStyle w:val="TableContents"/>
              <w:bidi w:val="0"/>
              <w:spacing w:before="0" w:after="283"/>
              <w:jc w:val="center"/>
              <w:rPr/>
            </w:pPr>
            <w:r>
              <w:rPr/>
              <w:t>US$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1"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1"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7" w:type="dxa"/>
            <w:gridSpan w:val="2"/>
            <w:tcBorders/>
            <w:vAlign w:val="center"/>
          </w:tcPr>
          <w:p>
            <w:pPr>
              <w:pStyle w:val="TableContents"/>
              <w:bidi w:val="0"/>
              <w:spacing w:before="0" w:after="283"/>
              <w:jc w:val="center"/>
              <w:rPr/>
            </w:pPr>
            <w:r>
              <w:rPr/>
              <w:t>US$</w:t>
            </w:r>
          </w:p>
        </w:tc>
        <w:tc>
          <w:tcPr>
            <w:tcW w:w="117" w:type="dxa"/>
            <w:tcBorders/>
            <w:vAlign w:val="center"/>
          </w:tcPr>
          <w:p>
            <w:pPr>
              <w:pStyle w:val="TableContents"/>
              <w:bidi w:val="0"/>
              <w:spacing w:before="0" w:after="283"/>
              <w:jc w:val="center"/>
              <w:rPr/>
            </w:pPr>
            <w:r>
              <w:rPr/>
              <w:t> </w:t>
            </w:r>
          </w:p>
        </w:tc>
      </w:tr>
      <w:tr>
        <w:trPr/>
        <w:tc>
          <w:tcPr>
            <w:tcW w:w="1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1"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1"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1"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7" w:type="dxa"/>
            <w:gridSpan w:val="2"/>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r>
      <w:tr>
        <w:trPr/>
        <w:tc>
          <w:tcPr>
            <w:tcW w:w="1692" w:type="dxa"/>
            <w:tcBorders/>
            <w:shd w:fill="CCEEFF" w:val="clear"/>
            <w:vAlign w:val="center"/>
          </w:tcPr>
          <w:p>
            <w:pPr>
              <w:pStyle w:val="TableContents"/>
              <w:bidi w:val="0"/>
              <w:spacing w:before="0" w:after="283"/>
              <w:jc w:val="left"/>
              <w:rPr>
                <w:b/>
              </w:rPr>
            </w:pPr>
            <w:r>
              <w:rPr>
                <w:b/>
              </w:rPr>
              <w:t>Net revenues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1692" w:type="dxa"/>
            <w:tcBorders/>
            <w:shd w:fill="FFFFFF" w:val="clear"/>
            <w:vAlign w:val="center"/>
          </w:tcPr>
          <w:p>
            <w:pPr>
              <w:pStyle w:val="TableContents"/>
              <w:bidi w:val="0"/>
              <w:spacing w:before="0" w:after="283"/>
              <w:jc w:val="left"/>
              <w:rPr/>
            </w:pPr>
            <w:r>
              <w:rPr/>
              <w:t>Value-added Services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1,100,551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1,341,392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1,715,034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245,247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2,018,598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3,056,426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437,063</w:t>
            </w:r>
          </w:p>
        </w:tc>
        <w:tc>
          <w:tcPr>
            <w:tcW w:w="117" w:type="dxa"/>
            <w:tcBorders/>
            <w:shd w:fill="FFFFFF" w:val="clear"/>
            <w:vAlign w:val="center"/>
          </w:tcPr>
          <w:p>
            <w:pPr>
              <w:pStyle w:val="TableContents"/>
              <w:bidi w:val="0"/>
              <w:spacing w:before="0" w:after="283"/>
              <w:jc w:val="left"/>
              <w:rPr/>
            </w:pPr>
            <w:r>
              <w:rPr/>
              <w:t> </w:t>
            </w:r>
          </w:p>
        </w:tc>
      </w:tr>
      <w:tr>
        <w:trPr/>
        <w:tc>
          <w:tcPr>
            <w:tcW w:w="1692" w:type="dxa"/>
            <w:tcBorders/>
            <w:shd w:fill="CCEEFF" w:val="clear"/>
            <w:vAlign w:val="center"/>
          </w:tcPr>
          <w:p>
            <w:pPr>
              <w:pStyle w:val="TableContents"/>
              <w:bidi w:val="0"/>
              <w:spacing w:before="0" w:after="283"/>
              <w:jc w:val="left"/>
              <w:rPr/>
            </w:pPr>
            <w:r>
              <w:rPr/>
              <w:t>Subscription and others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7,276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16,282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pPr>
            <w:r>
              <w:rPr/>
              <w:t>30,046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pPr>
            <w:r>
              <w:rPr/>
              <w:t>4,297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pPr>
            <w:r>
              <w:rPr/>
              <w:t>13,208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pPr>
            <w:r>
              <w:rPr/>
              <w:t>46,328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pPr>
            <w:r>
              <w:rPr/>
              <w:t>6,625</w:t>
            </w:r>
          </w:p>
        </w:tc>
        <w:tc>
          <w:tcPr>
            <w:tcW w:w="117" w:type="dxa"/>
            <w:tcBorders/>
            <w:shd w:fill="CCEEFF" w:val="clear"/>
            <w:vAlign w:val="center"/>
          </w:tcPr>
          <w:p>
            <w:pPr>
              <w:pStyle w:val="TableContents"/>
              <w:bidi w:val="0"/>
              <w:spacing w:before="0" w:after="283"/>
              <w:jc w:val="left"/>
              <w:rPr/>
            </w:pPr>
            <w:r>
              <w:rPr/>
              <w:t> </w:t>
            </w:r>
          </w:p>
        </w:tc>
      </w:tr>
      <w:tr>
        <w:trPr/>
        <w:tc>
          <w:tcPr>
            <w:tcW w:w="1692" w:type="dxa"/>
            <w:tcBorders/>
            <w:shd w:fill="FFFFFF" w:val="clear"/>
            <w:vAlign w:val="center"/>
          </w:tcPr>
          <w:p>
            <w:pPr>
              <w:pStyle w:val="TableContents"/>
              <w:bidi w:val="0"/>
              <w:spacing w:before="0" w:after="283"/>
              <w:jc w:val="left"/>
              <w:rPr>
                <w:b/>
              </w:rPr>
            </w:pPr>
            <w:r>
              <w:rPr>
                <w:b/>
              </w:rPr>
              <w:t>Total net revenues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b/>
              </w:rPr>
            </w:pPr>
            <w:r>
              <w:rPr>
                <w:b/>
              </w:rPr>
              <w:t>1,107,827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1,357,674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b/>
              </w:rPr>
            </w:pPr>
            <w:r>
              <w:rPr>
                <w:b/>
              </w:rPr>
              <w:t>1,745,080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b/>
              </w:rPr>
            </w:pPr>
            <w:r>
              <w:rPr>
                <w:b/>
              </w:rPr>
              <w:t>249,544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b/>
              </w:rPr>
            </w:pPr>
            <w:r>
              <w:rPr>
                <w:b/>
              </w:rPr>
              <w:t>2,031,806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b/>
              </w:rPr>
            </w:pPr>
            <w:r>
              <w:rPr>
                <w:b/>
              </w:rPr>
              <w:t>3,102,754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b/>
              </w:rPr>
            </w:pPr>
            <w:r>
              <w:rPr>
                <w:b/>
              </w:rPr>
              <w:t>443,688</w:t>
            </w:r>
          </w:p>
        </w:tc>
        <w:tc>
          <w:tcPr>
            <w:tcW w:w="117" w:type="dxa"/>
            <w:tcBorders/>
            <w:shd w:fill="FFFFFF" w:val="clear"/>
            <w:vAlign w:val="center"/>
          </w:tcPr>
          <w:p>
            <w:pPr>
              <w:pStyle w:val="TableContents"/>
              <w:bidi w:val="0"/>
              <w:spacing w:before="0" w:after="283"/>
              <w:jc w:val="left"/>
              <w:rPr/>
            </w:pPr>
            <w:r>
              <w:rPr/>
              <w:t> </w:t>
            </w:r>
          </w:p>
        </w:tc>
      </w:tr>
      <w:tr>
        <w:trPr/>
        <w:tc>
          <w:tcPr>
            <w:tcW w:w="16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b/>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(797,307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(965,618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pPr>
            <w:r>
              <w:rPr/>
              <w:t>(1,231,977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pPr>
            <w:r>
              <w:rPr/>
              <w:t>(176,170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pPr>
            <w:r>
              <w:rPr/>
              <w:t>(1,474,948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CCEEFF" w:val="clear"/>
            <w:tcMar>
              <w:bottom w:w="28" w:type="dxa"/>
            </w:tcMar>
            <w:vAlign w:val="center"/>
          </w:tcPr>
          <w:p>
            <w:pPr>
              <w:pStyle w:val="TableContents"/>
              <w:bidi w:val="0"/>
              <w:spacing w:before="0" w:after="283"/>
              <w:jc w:val="right"/>
              <w:rPr/>
            </w:pPr>
            <w:r>
              <w:rPr/>
              <w:t>(2,197,595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pPr>
            <w:r>
              <w:rPr/>
              <w:t>(314,252</w:t>
            </w:r>
          </w:p>
        </w:tc>
        <w:tc>
          <w:tcPr>
            <w:tcW w:w="117" w:type="dxa"/>
            <w:tcBorders/>
            <w:shd w:fill="CCEEFF" w:val="clear"/>
            <w:vAlign w:val="center"/>
          </w:tcPr>
          <w:p>
            <w:pPr>
              <w:pStyle w:val="TableContents"/>
              <w:bidi w:val="0"/>
              <w:spacing w:before="0" w:after="283"/>
              <w:jc w:val="left"/>
              <w:rPr/>
            </w:pPr>
            <w:r>
              <w:rPr/>
              <w:t>)</w:t>
            </w:r>
          </w:p>
        </w:tc>
      </w:tr>
      <w:tr>
        <w:trPr/>
        <w:tc>
          <w:tcPr>
            <w:tcW w:w="1692"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310,520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392,056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513,103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73,374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556,858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905,159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129,436</w:t>
            </w:r>
          </w:p>
        </w:tc>
        <w:tc>
          <w:tcPr>
            <w:tcW w:w="117" w:type="dxa"/>
            <w:tcBorders/>
            <w:shd w:fill="FFFFFF" w:val="clear"/>
            <w:vAlign w:val="center"/>
          </w:tcPr>
          <w:p>
            <w:pPr>
              <w:pStyle w:val="TableContents"/>
              <w:bidi w:val="0"/>
              <w:spacing w:before="0" w:after="283"/>
              <w:jc w:val="left"/>
              <w:rPr/>
            </w:pPr>
            <w:r>
              <w:rPr/>
              <w:t> </w:t>
            </w:r>
          </w:p>
        </w:tc>
      </w:tr>
      <w:tr>
        <w:trPr/>
        <w:tc>
          <w:tcPr>
            <w:tcW w:w="16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169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Operating expenses </w:t>
            </w:r>
            <w:r>
              <w:rPr>
                <w:rFonts w:ascii="Times New Roman;Times;Serif" w:hAnsi="Times New Roman;Times;Serif"/>
                <w:b/>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1692" w:type="dxa"/>
            <w:tcBorders/>
            <w:shd w:fill="CCEEFF" w:val="clear"/>
            <w:vAlign w:val="center"/>
          </w:tcPr>
          <w:p>
            <w:pPr>
              <w:pStyle w:val="TableContents"/>
              <w:bidi w:val="0"/>
              <w:spacing w:before="0" w:after="283"/>
              <w:jc w:val="left"/>
              <w:rPr/>
            </w:pPr>
            <w:r>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(184,089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(153,390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(194,300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(27,785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(307,281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(347,690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(49,719</w:t>
            </w:r>
          </w:p>
        </w:tc>
        <w:tc>
          <w:tcPr>
            <w:tcW w:w="117" w:type="dxa"/>
            <w:tcBorders/>
            <w:shd w:fill="CCEEFF" w:val="clear"/>
            <w:vAlign w:val="center"/>
          </w:tcPr>
          <w:p>
            <w:pPr>
              <w:pStyle w:val="TableContents"/>
              <w:bidi w:val="0"/>
              <w:spacing w:before="0" w:after="283"/>
              <w:jc w:val="left"/>
              <w:rPr/>
            </w:pPr>
            <w:r>
              <w:rPr/>
              <w:t>)</w:t>
            </w:r>
          </w:p>
        </w:tc>
      </w:tr>
      <w:tr>
        <w:trPr/>
        <w:tc>
          <w:tcPr>
            <w:tcW w:w="1692"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(62,063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(46,135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(6,597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(106,587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(100,254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(14,336</w:t>
            </w:r>
          </w:p>
        </w:tc>
        <w:tc>
          <w:tcPr>
            <w:tcW w:w="117" w:type="dxa"/>
            <w:tcBorders/>
            <w:shd w:fill="FFFFFF" w:val="clear"/>
            <w:vAlign w:val="center"/>
          </w:tcPr>
          <w:p>
            <w:pPr>
              <w:pStyle w:val="TableContents"/>
              <w:bidi w:val="0"/>
              <w:spacing w:before="0" w:after="283"/>
              <w:jc w:val="left"/>
              <w:rPr/>
            </w:pPr>
            <w:r>
              <w:rPr/>
              <w:t>)</w:t>
            </w:r>
          </w:p>
        </w:tc>
      </w:tr>
      <w:tr>
        <w:trPr/>
        <w:tc>
          <w:tcPr>
            <w:tcW w:w="1692"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(109,792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(121,390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(118,823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(16,991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(232,693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(240,213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(34,350</w:t>
            </w:r>
          </w:p>
        </w:tc>
        <w:tc>
          <w:tcPr>
            <w:tcW w:w="117" w:type="dxa"/>
            <w:tcBorders/>
            <w:shd w:fill="CCEEFF" w:val="clear"/>
            <w:vAlign w:val="center"/>
          </w:tcPr>
          <w:p>
            <w:pPr>
              <w:pStyle w:val="TableContents"/>
              <w:bidi w:val="0"/>
              <w:spacing w:before="0" w:after="283"/>
              <w:jc w:val="left"/>
              <w:rPr/>
            </w:pPr>
            <w:r>
              <w:rPr/>
              <w:t>)</w:t>
            </w:r>
          </w:p>
        </w:tc>
      </w:tr>
      <w:tr>
        <w:trPr/>
        <w:tc>
          <w:tcPr>
            <w:tcW w:w="1692"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b/>
              </w:rPr>
            </w:pPr>
            <w:r>
              <w:rPr>
                <w:b/>
              </w:rPr>
              <w:t>(355,944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(328,899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b/>
              </w:rPr>
            </w:pPr>
            <w:r>
              <w:rPr>
                <w:b/>
              </w:rPr>
              <w:t>(359,258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b/>
              </w:rPr>
            </w:pPr>
            <w:r>
              <w:rPr>
                <w:b/>
              </w:rPr>
              <w:t>(51,373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b/>
              </w:rPr>
            </w:pPr>
            <w:r>
              <w:rPr>
                <w:b/>
              </w:rPr>
              <w:t>(646,561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b/>
              </w:rPr>
            </w:pPr>
            <w:r>
              <w:rPr>
                <w:b/>
              </w:rPr>
              <w:t>(688,157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b/>
              </w:rPr>
            </w:pPr>
            <w:r>
              <w:rPr>
                <w:b/>
              </w:rPr>
              <w:t>(98,405</w:t>
            </w:r>
          </w:p>
        </w:tc>
        <w:tc>
          <w:tcPr>
            <w:tcW w:w="117" w:type="dxa"/>
            <w:tcBorders/>
            <w:shd w:fill="FFFFFF" w:val="clear"/>
            <w:vAlign w:val="center"/>
          </w:tcPr>
          <w:p>
            <w:pPr>
              <w:pStyle w:val="TableContents"/>
              <w:bidi w:val="0"/>
              <w:spacing w:before="0" w:after="283"/>
              <w:jc w:val="left"/>
              <w:rPr>
                <w:b/>
              </w:rPr>
            </w:pPr>
            <w:r>
              <w:rPr>
                <w:b/>
              </w:rPr>
              <w:t>)</w:t>
            </w:r>
          </w:p>
        </w:tc>
      </w:tr>
      <w:tr>
        <w:trPr/>
        <w:tc>
          <w:tcPr>
            <w:tcW w:w="16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1692" w:type="dxa"/>
            <w:tcBorders/>
            <w:shd w:fill="FFFFFF" w:val="clear"/>
            <w:vAlign w:val="center"/>
          </w:tcPr>
          <w:p>
            <w:pPr>
              <w:pStyle w:val="TableContents"/>
              <w:bidi w:val="0"/>
              <w:spacing w:before="0" w:after="283"/>
              <w:jc w:val="left"/>
              <w:rPr>
                <w:b/>
              </w:rPr>
            </w:pPr>
            <w:r>
              <w:rPr>
                <w:b/>
              </w:rPr>
              <w:t>Operating (loss)/income</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(45,424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63,157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153,845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(89,703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217,002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31,031</w:t>
            </w:r>
          </w:p>
        </w:tc>
        <w:tc>
          <w:tcPr>
            <w:tcW w:w="117" w:type="dxa"/>
            <w:tcBorders/>
            <w:shd w:fill="FFFFFF" w:val="clear"/>
            <w:vAlign w:val="center"/>
          </w:tcPr>
          <w:p>
            <w:pPr>
              <w:pStyle w:val="TableContents"/>
              <w:bidi w:val="0"/>
              <w:spacing w:before="0" w:after="283"/>
              <w:jc w:val="left"/>
              <w:rPr/>
            </w:pPr>
            <w:r>
              <w:rPr/>
              <w:t> </w:t>
            </w:r>
          </w:p>
        </w:tc>
      </w:tr>
      <w:tr>
        <w:trPr/>
        <w:tc>
          <w:tcPr>
            <w:tcW w:w="16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1692"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(218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(416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(4</w:t>
            </w:r>
          </w:p>
        </w:tc>
        <w:tc>
          <w:tcPr>
            <w:tcW w:w="117" w:type="dxa"/>
            <w:tcBorders/>
            <w:shd w:fill="FFFFFF" w:val="clear"/>
            <w:vAlign w:val="center"/>
          </w:tcPr>
          <w:p>
            <w:pPr>
              <w:pStyle w:val="TableContents"/>
              <w:bidi w:val="0"/>
              <w:spacing w:before="0" w:after="283"/>
              <w:jc w:val="left"/>
              <w:rPr/>
            </w:pPr>
            <w:r>
              <w:rPr/>
              <w:t>)</w:t>
            </w:r>
          </w:p>
        </w:tc>
      </w:tr>
      <w:tr>
        <w:trPr/>
        <w:tc>
          <w:tcPr>
            <w:tcW w:w="1692" w:type="dxa"/>
            <w:tcBorders/>
            <w:shd w:fill="CCEEFF" w:val="clear"/>
            <w:vAlign w:val="center"/>
          </w:tcPr>
          <w:p>
            <w:pPr>
              <w:pStyle w:val="TableContents"/>
              <w:bidi w:val="0"/>
              <w:spacing w:before="0" w:after="283"/>
              <w:jc w:val="left"/>
              <w:rPr/>
            </w:pPr>
            <w:r>
              <w:rPr/>
              <w:t>Foreign exchange gains/(losses)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(2,435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(1,595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(228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(4,209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(1,022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(146</w:t>
            </w:r>
          </w:p>
        </w:tc>
        <w:tc>
          <w:tcPr>
            <w:tcW w:w="117" w:type="dxa"/>
            <w:tcBorders/>
            <w:shd w:fill="CCEEFF" w:val="clear"/>
            <w:vAlign w:val="center"/>
          </w:tcPr>
          <w:p>
            <w:pPr>
              <w:pStyle w:val="TableContents"/>
              <w:bidi w:val="0"/>
              <w:spacing w:before="0" w:after="283"/>
              <w:jc w:val="left"/>
              <w:rPr/>
            </w:pPr>
            <w:r>
              <w:rPr/>
              <w:t>)</w:t>
            </w:r>
          </w:p>
        </w:tc>
      </w:tr>
      <w:tr>
        <w:trPr/>
        <w:tc>
          <w:tcPr>
            <w:tcW w:w="1692" w:type="dxa"/>
            <w:tcBorders/>
            <w:shd w:fill="FFFFFF" w:val="clear"/>
            <w:vAlign w:val="center"/>
          </w:tcPr>
          <w:p>
            <w:pPr>
              <w:pStyle w:val="TableContents"/>
              <w:bidi w:val="0"/>
              <w:spacing w:before="0" w:after="283"/>
              <w:jc w:val="left"/>
              <w:rPr/>
            </w:pPr>
            <w:r>
              <w:rPr/>
              <w:t>Interest income and investment income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5,240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3,750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10,042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7,269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1,039</w:t>
            </w:r>
          </w:p>
        </w:tc>
        <w:tc>
          <w:tcPr>
            <w:tcW w:w="117" w:type="dxa"/>
            <w:tcBorders/>
            <w:shd w:fill="FFFFFF" w:val="clear"/>
            <w:vAlign w:val="center"/>
          </w:tcPr>
          <w:p>
            <w:pPr>
              <w:pStyle w:val="TableContents"/>
              <w:bidi w:val="0"/>
              <w:spacing w:before="0" w:after="283"/>
              <w:jc w:val="left"/>
              <w:rPr/>
            </w:pPr>
            <w:r>
              <w:rPr/>
              <w:t> </w:t>
            </w:r>
          </w:p>
        </w:tc>
      </w:tr>
      <w:tr>
        <w:trPr/>
        <w:tc>
          <w:tcPr>
            <w:tcW w:w="1692" w:type="dxa"/>
            <w:tcBorders/>
            <w:shd w:fill="CCEEFF" w:val="clear"/>
            <w:vAlign w:val="center"/>
          </w:tcPr>
          <w:p>
            <w:pPr>
              <w:pStyle w:val="TableContents"/>
              <w:bidi w:val="0"/>
              <w:spacing w:before="0" w:after="283"/>
              <w:jc w:val="left"/>
              <w:rPr/>
            </w:pPr>
            <w:r>
              <w:rPr/>
              <w:t>Government grants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2,148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2,295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328</w:t>
            </w:r>
          </w:p>
        </w:tc>
        <w:tc>
          <w:tcPr>
            <w:tcW w:w="117" w:type="dxa"/>
            <w:tcBorders/>
            <w:shd w:fill="CCEEFF" w:val="clear"/>
            <w:vAlign w:val="center"/>
          </w:tcPr>
          <w:p>
            <w:pPr>
              <w:pStyle w:val="TableContents"/>
              <w:bidi w:val="0"/>
              <w:spacing w:before="0" w:after="283"/>
              <w:jc w:val="left"/>
              <w:rPr/>
            </w:pPr>
            <w:r>
              <w:rPr/>
              <w:t> </w:t>
            </w:r>
          </w:p>
        </w:tc>
      </w:tr>
      <w:tr>
        <w:trPr/>
        <w:tc>
          <w:tcPr>
            <w:tcW w:w="1692" w:type="dxa"/>
            <w:tcBorders/>
            <w:shd w:fill="FFFFFF" w:val="clear"/>
            <w:vAlign w:val="center"/>
          </w:tcPr>
          <w:p>
            <w:pPr>
              <w:pStyle w:val="TableContents"/>
              <w:bidi w:val="0"/>
              <w:spacing w:before="0" w:after="283"/>
              <w:jc w:val="left"/>
              <w:rPr/>
            </w:pPr>
            <w:r>
              <w:rPr/>
              <w:t>Others, net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pPr>
            <w:r>
              <w:rPr/>
              <w:t>(677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pPr>
            <w:r>
              <w:rPr/>
              <w:t>(1,433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pPr>
            <w:r>
              <w:rPr/>
              <w:t>(205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pPr>
            <w:r>
              <w:rPr/>
              <w:t>4,423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pPr>
            <w:r>
              <w:rPr/>
              <w:t>(2,086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pPr>
            <w:r>
              <w:rPr/>
              <w:t>(298</w:t>
            </w:r>
          </w:p>
        </w:tc>
        <w:tc>
          <w:tcPr>
            <w:tcW w:w="117" w:type="dxa"/>
            <w:tcBorders/>
            <w:shd w:fill="FFFFFF" w:val="clear"/>
            <w:vAlign w:val="center"/>
          </w:tcPr>
          <w:p>
            <w:pPr>
              <w:pStyle w:val="TableContents"/>
              <w:bidi w:val="0"/>
              <w:spacing w:before="0" w:after="283"/>
              <w:jc w:val="left"/>
              <w:rPr/>
            </w:pPr>
            <w:r>
              <w:rPr/>
              <w:t>)</w:t>
            </w:r>
          </w:p>
        </w:tc>
      </w:tr>
      <w:tr>
        <w:trPr/>
        <w:tc>
          <w:tcPr>
            <w:tcW w:w="16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1692" w:type="dxa"/>
            <w:tcBorders/>
            <w:shd w:fill="FFFFFF" w:val="clear"/>
            <w:vAlign w:val="center"/>
          </w:tcPr>
          <w:p>
            <w:pPr>
              <w:pStyle w:val="TableContents"/>
              <w:bidi w:val="0"/>
              <w:spacing w:before="0" w:after="283"/>
              <w:jc w:val="left"/>
              <w:rPr>
                <w:b/>
              </w:rPr>
            </w:pPr>
            <w:r>
              <w:rPr>
                <w:b/>
              </w:rPr>
              <w:t>(Loss)/income before income taxes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(42,482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68,743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154,687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(77,715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223,430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31,950</w:t>
            </w:r>
          </w:p>
        </w:tc>
        <w:tc>
          <w:tcPr>
            <w:tcW w:w="117" w:type="dxa"/>
            <w:tcBorders/>
            <w:shd w:fill="FFFFFF" w:val="clear"/>
            <w:vAlign w:val="center"/>
          </w:tcPr>
          <w:p>
            <w:pPr>
              <w:pStyle w:val="TableContents"/>
              <w:bidi w:val="0"/>
              <w:spacing w:before="0" w:after="283"/>
              <w:jc w:val="left"/>
              <w:rPr/>
            </w:pPr>
            <w:r>
              <w:rPr/>
              <w:t> </w:t>
            </w:r>
          </w:p>
        </w:tc>
      </w:tr>
      <w:tr>
        <w:trPr/>
        <w:tc>
          <w:tcPr>
            <w:tcW w:w="16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1692" w:type="dxa"/>
            <w:tcBorders/>
            <w:shd w:fill="FFFFFF" w:val="clear"/>
            <w:vAlign w:val="center"/>
          </w:tcPr>
          <w:p>
            <w:pPr>
              <w:pStyle w:val="TableContents"/>
              <w:bidi w:val="0"/>
              <w:spacing w:before="0" w:after="283"/>
              <w:jc w:val="left"/>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pPr>
            <w:r>
              <w:rPr/>
              <w:t>(2,014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pPr>
            <w:r>
              <w:rPr/>
              <w:t>(1,623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pPr>
            <w:r>
              <w:rPr/>
              <w:t>(232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pPr>
            <w:r>
              <w:rPr/>
              <w:t>(3,261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pPr>
            <w:r>
              <w:rPr/>
              <w:t>(2,781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pPr>
            <w:r>
              <w:rPr/>
              <w:t>(398</w:t>
            </w:r>
          </w:p>
        </w:tc>
        <w:tc>
          <w:tcPr>
            <w:tcW w:w="117" w:type="dxa"/>
            <w:tcBorders/>
            <w:shd w:fill="FFFFFF" w:val="clear"/>
            <w:vAlign w:val="center"/>
          </w:tcPr>
          <w:p>
            <w:pPr>
              <w:pStyle w:val="TableContents"/>
              <w:bidi w:val="0"/>
              <w:spacing w:before="0" w:after="283"/>
              <w:jc w:val="left"/>
              <w:rPr/>
            </w:pPr>
            <w:r>
              <w:rPr/>
              <w:t>)</w:t>
            </w:r>
          </w:p>
        </w:tc>
      </w:tr>
      <w:tr>
        <w:trPr/>
        <w:tc>
          <w:tcPr>
            <w:tcW w:w="16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1692" w:type="dxa"/>
            <w:tcBorders/>
            <w:shd w:fill="FFFFFF" w:val="clear"/>
            <w:vAlign w:val="center"/>
          </w:tcPr>
          <w:p>
            <w:pPr>
              <w:pStyle w:val="TableContents"/>
              <w:bidi w:val="0"/>
              <w:spacing w:before="0" w:after="283"/>
              <w:jc w:val="left"/>
              <w:rPr>
                <w:b/>
              </w:rPr>
            </w:pPr>
            <w:r>
              <w:rPr>
                <w:b/>
              </w:rPr>
              <w:t>Net (loss)/income</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(44,496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67,585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153,064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(80,976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220,649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31,552</w:t>
            </w:r>
          </w:p>
        </w:tc>
        <w:tc>
          <w:tcPr>
            <w:tcW w:w="117" w:type="dxa"/>
            <w:tcBorders/>
            <w:shd w:fill="FFFFFF" w:val="clear"/>
            <w:vAlign w:val="center"/>
          </w:tcPr>
          <w:p>
            <w:pPr>
              <w:pStyle w:val="TableContents"/>
              <w:bidi w:val="0"/>
              <w:spacing w:before="0" w:after="283"/>
              <w:jc w:val="left"/>
              <w:rPr/>
            </w:pPr>
            <w:r>
              <w:rPr/>
              <w:t> </w:t>
            </w:r>
          </w:p>
        </w:tc>
      </w:tr>
      <w:tr>
        <w:trPr/>
        <w:tc>
          <w:tcPr>
            <w:tcW w:w="16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1692" w:type="dxa"/>
            <w:tcBorders/>
            <w:shd w:fill="FFFFFF" w:val="clear"/>
            <w:vAlign w:val="center"/>
          </w:tcPr>
          <w:p>
            <w:pPr>
              <w:pStyle w:val="TableContents"/>
              <w:bidi w:val="0"/>
              <w:spacing w:before="0" w:after="283"/>
              <w:jc w:val="left"/>
              <w:rPr/>
            </w:pPr>
            <w:r>
              <w:rPr/>
              <w:t>Net loss attributable to the non-controlling interests shareholders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pPr>
            <w:r>
              <w:rPr/>
              <w:t>5,903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pPr>
            <w:r>
              <w:rPr/>
              <w:t>2,876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pPr>
            <w:r>
              <w:rPr/>
              <w:t>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pPr>
            <w:r>
              <w:rPr/>
              <w:t>11,396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pPr>
            <w:r>
              <w:rPr/>
              <w:t>5,833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pPr>
            <w:r>
              <w:rPr/>
              <w:t>834</w:t>
            </w:r>
          </w:p>
        </w:tc>
        <w:tc>
          <w:tcPr>
            <w:tcW w:w="117" w:type="dxa"/>
            <w:tcBorders/>
            <w:shd w:fill="FFFFFF" w:val="clear"/>
            <w:vAlign w:val="center"/>
          </w:tcPr>
          <w:p>
            <w:pPr>
              <w:pStyle w:val="TableContents"/>
              <w:bidi w:val="0"/>
              <w:spacing w:before="0" w:after="283"/>
              <w:jc w:val="left"/>
              <w:rPr/>
            </w:pPr>
            <w:r>
              <w:rPr/>
              <w:t> </w:t>
            </w:r>
          </w:p>
        </w:tc>
      </w:tr>
      <w:tr>
        <w:trPr/>
        <w:tc>
          <w:tcPr>
            <w:tcW w:w="16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1692" w:type="dxa"/>
            <w:tcBorders/>
            <w:shd w:fill="FFFFFF" w:val="clear"/>
            <w:vAlign w:val="center"/>
          </w:tcPr>
          <w:p>
            <w:pPr>
              <w:pStyle w:val="TableContents"/>
              <w:bidi w:val="0"/>
              <w:spacing w:before="0" w:after="283"/>
              <w:jc w:val="left"/>
              <w:rPr>
                <w:b/>
              </w:rPr>
            </w:pPr>
            <w:r>
              <w:rPr>
                <w:b/>
              </w:rPr>
              <w:t>Net (loss)/income attributable to Sound Group Inc.’s ordinary shareholders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(38,593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155,940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(69,580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226,482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32,386</w:t>
            </w:r>
          </w:p>
        </w:tc>
        <w:tc>
          <w:tcPr>
            <w:tcW w:w="11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ADS, per share data and per ADS data)</w:t>
      </w:r>
    </w:p>
    <w:p>
      <w:pPr>
        <w:pStyle w:val="TextBody"/>
        <w:bidi w:val="0"/>
        <w:spacing w:before="0" w:after="0"/>
        <w:ind w:left="0" w:right="0" w:hanging="0"/>
        <w:jc w:val="center"/>
        <w:rPr>
          <w:caps w:val="false"/>
          <w:smallCaps w:val="false"/>
        </w:rPr>
      </w:pPr>
      <w:r>
        <w:rPr>
          <w:caps w:val="false"/>
          <w:smallCaps w:val="false"/>
        </w:rPr>
        <w:t> </w:t>
      </w:r>
    </w:p>
    <w:tbl>
      <w:tblPr>
        <w:tblW w:w="12120" w:type="dxa"/>
        <w:jc w:val="left"/>
        <w:tblInd w:w="0" w:type="dxa"/>
        <w:tblLayout w:type="fixed"/>
        <w:tblCellMar>
          <w:top w:w="0" w:type="dxa"/>
          <w:left w:w="0" w:type="dxa"/>
          <w:bottom w:w="0" w:type="dxa"/>
          <w:right w:w="0" w:type="dxa"/>
        </w:tblCellMar>
      </w:tblPr>
      <w:tblGrid>
        <w:gridCol w:w="1625"/>
        <w:gridCol w:w="60"/>
        <w:gridCol w:w="60"/>
        <w:gridCol w:w="1400"/>
        <w:gridCol w:w="95"/>
        <w:gridCol w:w="60"/>
        <w:gridCol w:w="60"/>
        <w:gridCol w:w="1400"/>
        <w:gridCol w:w="60"/>
        <w:gridCol w:w="60"/>
        <w:gridCol w:w="60"/>
        <w:gridCol w:w="1220"/>
        <w:gridCol w:w="95"/>
        <w:gridCol w:w="60"/>
        <w:gridCol w:w="60"/>
        <w:gridCol w:w="1220"/>
        <w:gridCol w:w="95"/>
        <w:gridCol w:w="60"/>
        <w:gridCol w:w="60"/>
        <w:gridCol w:w="1400"/>
        <w:gridCol w:w="95"/>
        <w:gridCol w:w="60"/>
        <w:gridCol w:w="60"/>
        <w:gridCol w:w="1220"/>
        <w:gridCol w:w="60"/>
        <w:gridCol w:w="60"/>
        <w:gridCol w:w="60"/>
        <w:gridCol w:w="1220"/>
        <w:gridCol w:w="75"/>
      </w:tblGrid>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1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Twelve Months Ended</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center"/>
              <w:rPr/>
            </w:pPr>
            <w:r>
              <w:rPr/>
              <w:t> </w:t>
            </w:r>
          </w:p>
        </w:tc>
      </w:tr>
      <w:tr>
        <w:trPr/>
        <w:tc>
          <w:tcPr>
            <w:tcW w:w="1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US$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b/>
              </w:rPr>
            </w:pPr>
            <w:r>
              <w:rPr>
                <w:b/>
              </w:rPr>
              <w:t>Net (loss)/income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b/>
              </w:rPr>
            </w:pPr>
            <w:r>
              <w:rPr>
                <w:b/>
              </w:rPr>
              <w:t>(44,496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b/>
              </w:rPr>
            </w:pPr>
            <w:r>
              <w:rPr>
                <w:b/>
              </w:rPr>
              <w:t>67,585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153,064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21,889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b/>
              </w:rPr>
            </w:pPr>
            <w:r>
              <w:rPr>
                <w:b/>
              </w:rPr>
              <w:t>(80,976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220,649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31,552</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b/>
              </w:rPr>
            </w:pPr>
            <w:r>
              <w:rPr>
                <w:b/>
              </w:rPr>
              <w:t>Other comprehensive (loss)/income: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13,846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6,771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(3,746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11,754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433</w:t>
            </w:r>
          </w:p>
        </w:tc>
        <w:tc>
          <w:tcPr>
            <w:tcW w:w="7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b/>
              </w:rPr>
            </w:pPr>
            <w:r>
              <w:rPr>
                <w:b/>
              </w:rPr>
              <w:t>Total comprehensive (loss)/income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(30,650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74,356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149,318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21,353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(69,222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223,674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31,985</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pPr>
            <w:r>
              <w:rPr/>
              <w:t>Comprehensive loss attributable to non-controlling interests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827</w:t>
            </w:r>
          </w:p>
        </w:tc>
        <w:tc>
          <w:tcPr>
            <w:tcW w:w="7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b/>
              </w:rPr>
            </w:pPr>
            <w:r>
              <w:rPr>
                <w:b/>
              </w:rPr>
              <w:t>Comprehensive (loss)/income attributable to Sound Group Inc.’s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(24,663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77,301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152,155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(57,700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229,456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32,812</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b/>
              </w:rPr>
            </w:pPr>
            <w:r>
              <w:rPr>
                <w:b/>
              </w:rPr>
              <w:t>Net (loss)/income attributable to Sound Group Inc.’s ordinary shareholders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pPr>
            <w:r>
              <w:rPr/>
              <w:t>—</w:t>
            </w:r>
            <w:r>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0.03</w:t>
            </w:r>
          </w:p>
        </w:tc>
        <w:tc>
          <w:tcPr>
            <w:tcW w:w="7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w:t>
            </w: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0.03</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b/>
              </w:rPr>
            </w:pPr>
            <w:r>
              <w:rPr>
                <w:b/>
              </w:rPr>
              <w:t>Weighted average number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w:t>
            </w: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1,026,725,421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1,027,216,172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940,645,994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940,645,994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1,026,725,421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940,645,994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940,645,994</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pPr>
            <w:r>
              <w:rPr/>
              <w:t>—</w:t>
            </w: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1,026,725,421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1,027,216,172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943,559,133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943,559,133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1,026,725,421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943,559,133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943,559,133</w:t>
            </w:r>
          </w:p>
        </w:tc>
        <w:tc>
          <w:tcPr>
            <w:tcW w:w="7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b/>
              </w:rPr>
            </w:pPr>
            <w:r>
              <w:rPr>
                <w:b/>
              </w:rPr>
              <w:t>Net (loss)/income attributable to Sound Group Inc.’s ordinary shareholders per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w:t>
            </w: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6.89</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pPr>
            <w:r>
              <w:rPr/>
              <w:t>—</w:t>
            </w: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33.05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(13.55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6.86</w:t>
            </w:r>
          </w:p>
        </w:tc>
        <w:tc>
          <w:tcPr>
            <w:tcW w:w="7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b/>
              </w:rPr>
            </w:pPr>
            <w:r>
              <w:rPr>
                <w:b/>
              </w:rPr>
              <w:t>Weighted average number of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pPr>
            <w:r>
              <w:rPr/>
              <w:t>—</w:t>
            </w:r>
            <w:r>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5,133,627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5,136,081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4,703,230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4,703,230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5,133,627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4,703,230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4,703,230</w:t>
            </w:r>
          </w:p>
        </w:tc>
        <w:tc>
          <w:tcPr>
            <w:tcW w:w="7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w:t>
            </w: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5,133,627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5,136,081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4,717,796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4,717,796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5,133,627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4,717,796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4,717,796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ADS, per share data and per ADS data)</w:t>
      </w:r>
    </w:p>
    <w:p>
      <w:pPr>
        <w:pStyle w:val="TextBody"/>
        <w:bidi w:val="0"/>
        <w:spacing w:before="0" w:after="0"/>
        <w:ind w:left="0" w:right="0" w:hanging="0"/>
        <w:jc w:val="center"/>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260"/>
        <w:gridCol w:w="776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was allocated in cost of revenues and operating expenses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8"/>
        <w:gridCol w:w="60"/>
        <w:gridCol w:w="106"/>
        <w:gridCol w:w="1004"/>
        <w:gridCol w:w="60"/>
        <w:gridCol w:w="60"/>
        <w:gridCol w:w="63"/>
        <w:gridCol w:w="589"/>
        <w:gridCol w:w="60"/>
        <w:gridCol w:w="60"/>
        <w:gridCol w:w="106"/>
        <w:gridCol w:w="1004"/>
        <w:gridCol w:w="60"/>
        <w:gridCol w:w="60"/>
        <w:gridCol w:w="151"/>
        <w:gridCol w:w="960"/>
        <w:gridCol w:w="60"/>
        <w:gridCol w:w="60"/>
        <w:gridCol w:w="88"/>
        <w:gridCol w:w="1022"/>
        <w:gridCol w:w="62"/>
        <w:gridCol w:w="62"/>
        <w:gridCol w:w="106"/>
        <w:gridCol w:w="1004"/>
        <w:gridCol w:w="62"/>
        <w:gridCol w:w="62"/>
        <w:gridCol w:w="151"/>
        <w:gridCol w:w="960"/>
        <w:gridCol w:w="85"/>
      </w:tblGrid>
      <w:tr>
        <w:trPr/>
        <w:tc>
          <w:tcPr>
            <w:tcW w:w="2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4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Twelve Months Ended</w:t>
            </w:r>
          </w:p>
        </w:tc>
        <w:tc>
          <w:tcPr>
            <w:tcW w:w="85" w:type="dxa"/>
            <w:tcBorders/>
            <w:vAlign w:val="center"/>
          </w:tcPr>
          <w:p>
            <w:pPr>
              <w:pStyle w:val="TableContents"/>
              <w:bidi w:val="0"/>
              <w:spacing w:before="0" w:after="283"/>
              <w:jc w:val="left"/>
              <w:rPr/>
            </w:pPr>
            <w:r>
              <w:rPr/>
              <w:t> </w:t>
            </w:r>
          </w:p>
        </w:tc>
      </w:tr>
      <w:tr>
        <w:trPr/>
        <w:tc>
          <w:tcPr>
            <w:tcW w:w="20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2"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11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11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5" w:type="dxa"/>
            <w:tcBorders/>
            <w:vAlign w:val="center"/>
          </w:tcPr>
          <w:p>
            <w:pPr>
              <w:pStyle w:val="TableContents"/>
              <w:bidi w:val="0"/>
              <w:spacing w:before="0" w:after="283"/>
              <w:jc w:val="center"/>
              <w:rPr/>
            </w:pPr>
            <w:r>
              <w:rPr/>
              <w:t> </w:t>
            </w:r>
          </w:p>
        </w:tc>
      </w:tr>
      <w:tr>
        <w:trPr/>
        <w:tc>
          <w:tcPr>
            <w:tcW w:w="20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0"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2"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0"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1"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0" w:type="dxa"/>
            <w:gridSpan w:val="2"/>
            <w:tcBorders/>
            <w:vAlign w:val="center"/>
          </w:tcPr>
          <w:p>
            <w:pPr>
              <w:pStyle w:val="TableContents"/>
              <w:bidi w:val="0"/>
              <w:spacing w:before="0" w:after="283"/>
              <w:jc w:val="center"/>
              <w:rPr/>
            </w:pPr>
            <w:r>
              <w:rPr/>
              <w:t>RMB</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110" w:type="dxa"/>
            <w:gridSpan w:val="2"/>
            <w:tcBorders/>
            <w:vAlign w:val="center"/>
          </w:tcPr>
          <w:p>
            <w:pPr>
              <w:pStyle w:val="TableContents"/>
              <w:bidi w:val="0"/>
              <w:spacing w:before="0" w:after="283"/>
              <w:jc w:val="center"/>
              <w:rPr/>
            </w:pPr>
            <w:r>
              <w:rPr/>
              <w:t>RMB</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111" w:type="dxa"/>
            <w:gridSpan w:val="2"/>
            <w:tcBorders/>
            <w:vAlign w:val="center"/>
          </w:tcPr>
          <w:p>
            <w:pPr>
              <w:pStyle w:val="TableContents"/>
              <w:bidi w:val="0"/>
              <w:spacing w:before="0" w:after="283"/>
              <w:jc w:val="center"/>
              <w:rPr/>
            </w:pPr>
            <w:r>
              <w:rPr/>
              <w:t>US$</w:t>
            </w:r>
          </w:p>
        </w:tc>
        <w:tc>
          <w:tcPr>
            <w:tcW w:w="85" w:type="dxa"/>
            <w:tcBorders/>
            <w:vAlign w:val="center"/>
          </w:tcPr>
          <w:p>
            <w:pPr>
              <w:pStyle w:val="TableContents"/>
              <w:bidi w:val="0"/>
              <w:spacing w:before="0" w:after="283"/>
              <w:jc w:val="center"/>
              <w:rPr/>
            </w:pPr>
            <w:r>
              <w:rPr/>
              <w:t> </w:t>
            </w:r>
          </w:p>
        </w:tc>
      </w:tr>
      <w:tr>
        <w:trPr/>
        <w:tc>
          <w:tcPr>
            <w:tcW w:w="2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1"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gridSpan w:val="2"/>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10" w:type="dxa"/>
            <w:gridSpan w:val="2"/>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11" w:type="dxa"/>
            <w:gridSpan w:val="2"/>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left"/>
              <w:rPr/>
            </w:pPr>
            <w:r>
              <w:rPr/>
              <w:t> </w:t>
            </w:r>
          </w:p>
        </w:tc>
      </w:tr>
      <w:tr>
        <w:trPr/>
        <w:tc>
          <w:tcPr>
            <w:tcW w:w="2018"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1,788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556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80</w:t>
            </w:r>
          </w:p>
        </w:tc>
        <w:tc>
          <w:tcPr>
            <w:tcW w:w="85" w:type="dxa"/>
            <w:tcBorders/>
            <w:shd w:fill="CCEEFF" w:val="clear"/>
            <w:vAlign w:val="center"/>
          </w:tcPr>
          <w:p>
            <w:pPr>
              <w:pStyle w:val="TableContents"/>
              <w:bidi w:val="0"/>
              <w:spacing w:before="0" w:after="283"/>
              <w:jc w:val="left"/>
              <w:rPr/>
            </w:pPr>
            <w:r>
              <w:rPr/>
              <w:t> </w:t>
            </w:r>
          </w:p>
        </w:tc>
      </w:tr>
      <w:tr>
        <w:trPr/>
        <w:tc>
          <w:tcPr>
            <w:tcW w:w="2018"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994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59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8</w:t>
            </w:r>
          </w:p>
        </w:tc>
        <w:tc>
          <w:tcPr>
            <w:tcW w:w="85" w:type="dxa"/>
            <w:tcBorders/>
            <w:shd w:fill="FFFFFF" w:val="clear"/>
            <w:vAlign w:val="center"/>
          </w:tcPr>
          <w:p>
            <w:pPr>
              <w:pStyle w:val="TableContents"/>
              <w:bidi w:val="0"/>
              <w:spacing w:before="0" w:after="283"/>
              <w:jc w:val="left"/>
              <w:rPr/>
            </w:pPr>
            <w:r>
              <w:rPr/>
              <w:t> </w:t>
            </w:r>
          </w:p>
        </w:tc>
      </w:tr>
      <w:tr>
        <w:trPr/>
        <w:tc>
          <w:tcPr>
            <w:tcW w:w="2018"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2,565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5,702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474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68</w:t>
            </w:r>
          </w:p>
        </w:tc>
        <w:tc>
          <w:tcPr>
            <w:tcW w:w="85" w:type="dxa"/>
            <w:tcBorders/>
            <w:shd w:fill="CCEEFF" w:val="clear"/>
            <w:vAlign w:val="center"/>
          </w:tcPr>
          <w:p>
            <w:pPr>
              <w:pStyle w:val="TableContents"/>
              <w:bidi w:val="0"/>
              <w:spacing w:before="0" w:after="283"/>
              <w:jc w:val="left"/>
              <w:rPr/>
            </w:pPr>
            <w:r>
              <w:rPr/>
              <w:t> </w:t>
            </w:r>
          </w:p>
        </w:tc>
      </w:tr>
      <w:tr>
        <w:trPr/>
        <w:tc>
          <w:tcPr>
            <w:tcW w:w="2018"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4" w:type="dxa"/>
            <w:tcBorders>
              <w:bottom w:val="single" w:sz="8" w:space="0" w:color="000000"/>
            </w:tcBorders>
            <w:shd w:fill="FFFFFF" w:val="clear"/>
            <w:tcMar>
              <w:bottom w:w="28" w:type="dxa"/>
            </w:tcMar>
            <w:vAlign w:val="center"/>
          </w:tcPr>
          <w:p>
            <w:pPr>
              <w:pStyle w:val="TableContents"/>
              <w:bidi w:val="0"/>
              <w:spacing w:before="0" w:after="283"/>
              <w:jc w:val="right"/>
              <w:rPr/>
            </w:pPr>
            <w:r>
              <w:rPr/>
              <w:t>1,811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9" w:type="dxa"/>
            <w:tcBorders>
              <w:bottom w:val="single" w:sz="8" w:space="0" w:color="000000"/>
            </w:tcBorders>
            <w:shd w:fill="FFFFFF" w:val="clear"/>
            <w:tcMar>
              <w:bottom w:w="28" w:type="dxa"/>
            </w:tcMar>
            <w:vAlign w:val="center"/>
          </w:tcPr>
          <w:p>
            <w:pPr>
              <w:pStyle w:val="TableContents"/>
              <w:bidi w:val="0"/>
              <w:spacing w:before="0" w:after="283"/>
              <w:jc w:val="right"/>
              <w:rPr/>
            </w:pPr>
            <w:r>
              <w:rPr/>
              <w:t>2,247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4" w:type="dxa"/>
            <w:tcBorders>
              <w:bottom w:val="single" w:sz="8" w:space="0" w:color="000000"/>
            </w:tcBorders>
            <w:shd w:fill="FFFFFF" w:val="clear"/>
            <w:tcMar>
              <w:bottom w:w="28" w:type="dxa"/>
            </w:tcMar>
            <w:vAlign w:val="center"/>
          </w:tcPr>
          <w:p>
            <w:pPr>
              <w:pStyle w:val="TableContents"/>
              <w:bidi w:val="0"/>
              <w:spacing w:before="0" w:after="283"/>
              <w:jc w:val="right"/>
              <w:rPr/>
            </w:pPr>
            <w:r>
              <w:rPr/>
              <w:t>1,182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8" w:space="0" w:color="000000"/>
            </w:tcBorders>
            <w:shd w:fill="FFFFFF" w:val="clear"/>
            <w:tcMar>
              <w:bottom w:w="28" w:type="dxa"/>
            </w:tcMar>
            <w:vAlign w:val="center"/>
          </w:tcPr>
          <w:p>
            <w:pPr>
              <w:pStyle w:val="TableContents"/>
              <w:bidi w:val="0"/>
              <w:spacing w:before="0" w:after="283"/>
              <w:jc w:val="right"/>
              <w:rPr/>
            </w:pPr>
            <w:r>
              <w:rPr/>
              <w:t>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2" w:type="dxa"/>
            <w:tcBorders>
              <w:bottom w:val="single" w:sz="8" w:space="0" w:color="000000"/>
            </w:tcBorders>
            <w:shd w:fill="FFFFFF" w:val="clear"/>
            <w:tcMar>
              <w:bottom w:w="28" w:type="dxa"/>
            </w:tcMar>
            <w:vAlign w:val="center"/>
          </w:tcPr>
          <w:p>
            <w:pPr>
              <w:pStyle w:val="TableContents"/>
              <w:bidi w:val="0"/>
              <w:spacing w:before="0" w:after="283"/>
              <w:jc w:val="right"/>
              <w:rPr/>
            </w:pPr>
            <w:r>
              <w:rPr/>
              <w:t>5,666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4" w:type="dxa"/>
            <w:tcBorders>
              <w:bottom w:val="single" w:sz="8" w:space="0" w:color="000000"/>
            </w:tcBorders>
            <w:shd w:fill="FFFFFF" w:val="clear"/>
            <w:tcMar>
              <w:bottom w:w="28" w:type="dxa"/>
            </w:tcMar>
            <w:vAlign w:val="center"/>
          </w:tcPr>
          <w:p>
            <w:pPr>
              <w:pStyle w:val="TableContents"/>
              <w:bidi w:val="0"/>
              <w:spacing w:before="0" w:after="283"/>
              <w:jc w:val="right"/>
              <w:rPr/>
            </w:pPr>
            <w:r>
              <w:rPr/>
              <w:t>3,429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8" w:space="0" w:color="000000"/>
            </w:tcBorders>
            <w:shd w:fill="FFFFFF" w:val="clear"/>
            <w:tcMar>
              <w:bottom w:w="28" w:type="dxa"/>
            </w:tcMar>
            <w:vAlign w:val="center"/>
          </w:tcPr>
          <w:p>
            <w:pPr>
              <w:pStyle w:val="TableContents"/>
              <w:bidi w:val="0"/>
              <w:spacing w:before="0" w:after="283"/>
              <w:jc w:val="right"/>
              <w:rPr/>
            </w:pPr>
            <w:r>
              <w:rPr/>
              <w:t>490</w:t>
            </w:r>
          </w:p>
        </w:tc>
        <w:tc>
          <w:tcPr>
            <w:tcW w:w="85" w:type="dxa"/>
            <w:tcBorders/>
            <w:shd w:fill="FFFFFF" w:val="clear"/>
            <w:vAlign w:val="center"/>
          </w:tcPr>
          <w:p>
            <w:pPr>
              <w:pStyle w:val="TableContents"/>
              <w:bidi w:val="0"/>
              <w:spacing w:before="0" w:after="283"/>
              <w:jc w:val="left"/>
              <w:rPr/>
            </w:pPr>
            <w:r>
              <w:rPr/>
              <w:t> </w:t>
            </w:r>
          </w:p>
        </w:tc>
      </w:tr>
      <w:tr>
        <w:trPr/>
        <w:tc>
          <w:tcPr>
            <w:tcW w:w="20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2018"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14,150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4,518</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646</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RECONCILIATIONS OF GAAP AND NON-GAAP RESULTS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ADS, per share data and per ADS data)</w:t>
      </w:r>
    </w:p>
    <w:p>
      <w:pPr>
        <w:pStyle w:val="TextBody"/>
        <w:bidi w:val="0"/>
        <w:spacing w:before="0" w:after="0"/>
        <w:ind w:left="0" w:right="0" w:hanging="0"/>
        <w:jc w:val="center"/>
        <w:rPr>
          <w:caps w:val="false"/>
          <w:smallCaps w:val="false"/>
        </w:rPr>
      </w:pPr>
      <w:r>
        <w:rPr>
          <w:caps w:val="false"/>
          <w:smallCaps w:val="false"/>
        </w:rPr>
        <w:t> </w:t>
      </w:r>
    </w:p>
    <w:tbl>
      <w:tblPr>
        <w:tblW w:w="11765" w:type="dxa"/>
        <w:jc w:val="left"/>
        <w:tblInd w:w="0" w:type="dxa"/>
        <w:tblLayout w:type="fixed"/>
        <w:tblCellMar>
          <w:top w:w="0" w:type="dxa"/>
          <w:left w:w="0" w:type="dxa"/>
          <w:bottom w:w="0" w:type="dxa"/>
          <w:right w:w="0" w:type="dxa"/>
        </w:tblCellMar>
      </w:tblPr>
      <w:tblGrid>
        <w:gridCol w:w="1340"/>
        <w:gridCol w:w="60"/>
        <w:gridCol w:w="60"/>
        <w:gridCol w:w="1400"/>
        <w:gridCol w:w="95"/>
        <w:gridCol w:w="60"/>
        <w:gridCol w:w="60"/>
        <w:gridCol w:w="1400"/>
        <w:gridCol w:w="60"/>
        <w:gridCol w:w="60"/>
        <w:gridCol w:w="60"/>
        <w:gridCol w:w="1220"/>
        <w:gridCol w:w="60"/>
        <w:gridCol w:w="60"/>
        <w:gridCol w:w="60"/>
        <w:gridCol w:w="1220"/>
        <w:gridCol w:w="60"/>
        <w:gridCol w:w="60"/>
        <w:gridCol w:w="60"/>
        <w:gridCol w:w="1400"/>
        <w:gridCol w:w="95"/>
        <w:gridCol w:w="60"/>
        <w:gridCol w:w="60"/>
        <w:gridCol w:w="1220"/>
        <w:gridCol w:w="60"/>
        <w:gridCol w:w="60"/>
        <w:gridCol w:w="60"/>
        <w:gridCol w:w="1220"/>
        <w:gridCol w:w="75"/>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Twelve Months Ended</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310,520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392,056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513,103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73,374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556,858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905,159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129,436</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80</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Non-GAAP 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310,903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392,293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513,422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73,420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558,646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905,715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129,516</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Operating (loss)/income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(45,424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63,157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153,845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(89,703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217,002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31,031</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4,803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2,779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14,150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646</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Non-GAAP operating (loss)/income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(40,621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65,936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155,584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(75,553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221,520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31,677</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Net (loss)/income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(44,496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67,585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153,064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(80,976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220,649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31,552</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4,803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2,779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14,150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646</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Non-GAAP net (loss)/income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(39,693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154,803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(66,826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225,167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32,198</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Net (loss)/income attributable to Sound Group Inc.’s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(38,593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70,542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155,940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(69,580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226,482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32,386</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4,803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2,779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14,150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646</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Non-GAAP net (loss)/income attributable to Sound Group Inc.’s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(33,790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73,321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157,679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(55,430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33,032</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Non-GAAP net (loss)/income attributable to Sound Group Inc.’s ordinary shareholders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w:t>
            </w:r>
            <w:r>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0.04</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w:t>
            </w: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0.04</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b/>
              </w:rPr>
            </w:pPr>
            <w:r>
              <w:rPr>
                <w:b/>
              </w:rPr>
              <w:t>Weighted average number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both"/>
              <w:rPr/>
            </w:pPr>
            <w:r>
              <w:rPr/>
              <w:t>—</w:t>
            </w: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1,026,725,421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1,027,216,172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940,645,994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940,645,994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1,026,725,421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940,645,994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940,645,994</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both"/>
              <w:rPr/>
            </w:pPr>
            <w:r>
              <w:rPr/>
              <w:t>—</w:t>
            </w: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1,026,725,421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1,027,216,172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943,559,133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943,559,133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1,026,725,421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943,559,133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943,559,133</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b/>
              </w:rPr>
            </w:pPr>
            <w:r>
              <w:rPr>
                <w:b/>
              </w:rPr>
              <w:t>Non-GAAP net (loss)/income attributable to Sound Group Inc.’s ordinary shareholders per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w:t>
            </w: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7.02</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w:t>
            </w: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Weighted average number of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w:t>
            </w:r>
            <w:r>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5,133,627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5,136,081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4,703,230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4,703,230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5,133,627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4,703,230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4,703,230</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w:t>
            </w: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5,133,627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5,136,081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4,717,796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4,717,796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5,133,627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4,717,796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4,717,796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ind w:left="0" w:right="0" w:hanging="0"/>
        <w:jc w:val="center"/>
        <w:rPr>
          <w:caps w:val="false"/>
          <w:smallCaps w:val="false"/>
        </w:rPr>
      </w:pPr>
      <w:bookmarkStart w:id="4" w:name="ex99-2.htm"/>
      <w:bookmarkStart w:id="5" w:name="ksex992"/>
      <w:bookmarkEnd w:id="4"/>
      <w:bookmarkEnd w:id="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 Announces Special Cash Dividend</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Mar. 31, 2026 (GLOBE NEWSWIRE) — Sound Group Inc. (“Sound Group” or the “Company”) (NASDAQ: SOGP), a global AI-powered audio company, today announced that its board of directors (the “Board”) has approved a special cash dividend of US$0.006 per ordinary share, or US$1.20 per American Depositary Share (“ADS”), to holders of ordinary shares and ADSs of record as of the close of business on April 22, 2026 (U.S. Eastern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the cash dividend will amount to approximately US$5 million, with payments expected to be made on or around May 12, 2026, for holders of ordinary shares and ADSs. Holders of the Company’s ADSs will receive the cash dividend through Deutsche Bank Trust Company Americas, the depositary bank of the Company’s ADS program, subject to the terms and conditions of the deposit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Jinnan (Marco) Lai, Founder and Chief Executive Officer of Sound Group, commented, “Following a strong performance in 2025, we are pleased to reward shareholders for their long-term support with this return of capital. Over the past year, we delivered solid revenue growth and regained profitability, driven by the disciplined expansion of our audio-centric ecosystem and accelerating AI initiatives. Our portfolio of AI-powered applications are already beginning to generate meaningful commercial traction. This payout reflects the resilience of our business model and confidence in our long-term growth prospects. We remain committed to shareholder returns while maintaining the financial and operational flexibility to continue investing in innovation and our global expansion.”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Sound Group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 Group Inc. (NASDAQ: SOGP) is a global AI-powered audio company on a mission to help people connect better and live happier. Leveraging its voice AI technologies and deep expertise in audio interaction, Sound Group is building a diverse ecosystem of intelligent audio products that cater to a global user base. By integrating technology, innovative products, and real-world data within a user-centric ecosystem, the Company generates a powerful growth flywheel that is driving continuous innovation and accelerating its global expansion. Sound Group Inc. has been listed on Nasdaq since January 2020.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https://ir.soundgroupinc.com/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including but not limited to the following: the Company’s goals and strategies; the Company’s future business development, results of operations and financial condition; the expected growth of the online audio market; the expectation regarding the rate at which to gain active users, especially paying users; the Company’s ability to monetize the user base; fluctuations in general economic and business conditions in China and overseas markets; the economy in China and elsewhere generally; any adverse changes in laws, regulations, rules, policies or guidelines applicable to the Company; and assumptions underlying or related to any of the foregoing.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Securities Exchange Commission. All information provided in this press release is as of the date of this press release, and the Company does not undertake any duty to update such information, except as required under applicable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 Group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 Department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ir@soundgroupinc.com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soundgroup@christensencomms.com</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5468</Words>
  <Characters>31498</Characters>
  <CharactersWithSpaces>38882</CharactersWithSpaces>
  <Paragraphs>3867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